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A5F"/>
          <w:sz w:val="44"/>
          <w:szCs w:val="44"/>
        </w:rPr>
        <w:t xml:space="preserve">FINTRACK</w:t>
      </w:r>
    </w:p>
    <w:p>
      <w:pPr>
        <w:spacing w:after="120"/>
        <w:jc w:val="center"/>
      </w:pPr>
      <w:r>
        <w:rPr>
          <w:b/>
          <w:bCs/>
          <w:sz w:val="28"/>
          <w:szCs w:val="28"/>
        </w:rPr>
        <w:t xml:space="preserve">Spécification des exigences fonctionnelles et non fonctionnelles</w:t>
      </w:r>
    </w:p>
    <w:p>
      <w:pPr>
        <w:spacing w:after="120"/>
        <w:jc w:val="center"/>
      </w:pPr>
      <w:r>
        <w:rPr>
          <w:i/>
          <w:iCs/>
          <w:sz w:val="24"/>
          <w:szCs w:val="24"/>
        </w:rPr>
        <w:t xml:space="preserve">Version 2.3 — consolidée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Version</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2.3 (consolidée)</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Date</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18 octobre 2026</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Statut</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Version de travail, à relire par le propriétaire du projet</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Remplace</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Exigences V2.2 (et V2.1, V2.0 + annexes)</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Documents de référence</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Cahier des charges V2.2 ; Règles métier V1.2 consolidée</w:t>
            </w:r>
          </w:p>
        </w:tc>
      </w:tr>
    </w:tbl>
    <w:p>
      <w:pPr>
        <w:spacing w:after="120"/>
      </w:pPr>
    </w:p>
    <w:p>
      <w:pPr>
        <w:pStyle w:val="Heading1"/>
      </w:pPr>
      <w:r>
        <w:t xml:space="preserve">1. Objet et principes de lecture</w:t>
      </w:r>
    </w:p>
    <w:p>
      <w:pPr>
        <w:spacing w:after="120"/>
      </w:pPr>
      <w:r>
        <w:t xml:space="preserve">Ce document formalise les exigences fonctionnelles (EF) et non fonctionnelles (ENF) de FinTrack. Il sert de référence pour la conception, le développement, les tests et la validation.</w:t>
      </w:r>
    </w:p>
    <w:p>
      <w:pPr>
        <w:spacing w:after="120"/>
      </w:pPr>
      <w:r>
        <w:t xml:space="preserve">La version 2.3 regroupe en un seul corps le contenu de la V2.2, qui consolidait déjà la V2.1 et ses annexes. Aucune annexe de correction ne subsiste : chaque exigence est écrite dans sa forme finale.</w:t>
      </w:r>
    </w:p>
    <w:p>
      <w:pPr>
        <w:pStyle w:val="ListParagraph"/>
        <w:numPr>
          <w:ilvl w:val="0"/>
          <w:numId w:val="2"/>
        </w:numPr>
        <w:spacing w:after="60"/>
      </w:pPr>
      <w:r>
        <w:t xml:space="preserve">Les identifiants existants sont </w:t>
      </w:r>
      <w:r>
        <w:rPr>
          <w:b/>
          <w:bCs/>
        </w:rPr>
        <w:t xml:space="preserve">conservés</w:t>
      </w:r>
      <w:r>
        <w:t xml:space="preserve"> pour garder la traçabilité. Quand plusieurs exigences se recoupaient, elles sont fusionnées sous un seul identifiant ; la liste de correspondance figure en annexe A.</w:t>
      </w:r>
    </w:p>
    <w:p>
      <w:pPr>
        <w:pStyle w:val="ListParagraph"/>
        <w:numPr>
          <w:ilvl w:val="0"/>
          <w:numId w:val="2"/>
        </w:numPr>
        <w:spacing w:after="60"/>
      </w:pPr>
      <w:r>
        <w:t xml:space="preserve">Chaque exigence est formulée de manière vérifiable.</w:t>
      </w:r>
    </w:p>
    <w:p>
      <w:pPr>
        <w:pStyle w:val="ListParagraph"/>
        <w:numPr>
          <w:ilvl w:val="0"/>
          <w:numId w:val="2"/>
        </w:numPr>
        <w:spacing w:after="60"/>
      </w:pPr>
      <w:r>
        <w:t xml:space="preserve">Les formulations antérieures contredisant les règles métier V1.1 sont corrigées (voir annexe A).</w:t>
      </w:r>
    </w:p>
    <w:p>
      <w:pPr>
        <w:pBdr>
          <w:left w:val="single" w:color="1F3A5F" w:sz="18" w:space="8"/>
        </w:pBdr>
        <w:shd w:fill="F2F5F9" w:val="clear"/>
        <w:spacing w:after="160" w:before="120"/>
        <w:ind w:left="160"/>
      </w:pPr>
      <w:r>
        <w:rPr>
          <w:b/>
          <w:bCs/>
        </w:rPr>
        <w:t xml:space="preserve">Colonne « Lot ».</w:t>
      </w:r>
      <w:r>
        <w:t xml:space="preserve"> Les lots 1 à 5 sont ceux du cahier des charges V2.2 (§12). Lot 1 : noyau (comptes, devises, opérations, traçabilité). Lot 2 : épargne, dettes, budgets, alertes. Lot 3 : remboursements de dépenses, prévisions, analyses, rapports. Lot 4 : sauvegarde, export CSV, authentification. Lot 5 : évolutions. Équivalence indicative avec l’ancienne priorisation : P0 ≈ lot 1, P1 ≈ lots 2 et 3, P2 ≈ lots 4 et 5.</w:t>
      </w:r>
    </w:p>
    <w:p>
      <w:pPr>
        <w:pBdr>
          <w:left w:val="single" w:color="1F3A5F" w:sz="18" w:space="8"/>
        </w:pBdr>
        <w:shd w:fill="F2F5F9" w:val="clear"/>
        <w:spacing w:after="160" w:before="120"/>
        <w:ind w:left="160"/>
      </w:pPr>
      <w:r>
        <w:rPr>
          <w:b/>
          <w:bCs/>
        </w:rPr>
        <w:t xml:space="preserve">Colonne « Règles liées ».</w:t>
      </w:r>
      <w:r>
        <w:t xml:space="preserve"> RB-xx-nnn renvoie aux règles du document V1.0 ; « V1.1 §n » renvoie aux sections du document de consolidation V1.1 ; « V1.2 §12.n » renvoie aux décisions complémentaires de la V1.2 (taux fixé par l’utilisateur, excédents de remboursement, doublons). Détail des sections V1.1 : (§2 dashboard, analyses, alertes ; §3 usage local, sauvegarde, export, annulation logique ; §4 modifications et audit ; §5 remboursements et financements ; §6 prévisions et récurrences ; §7 devises des prévisions ; §8 frais et multi-devises ; §9 doublons ; §10 « À qualifier » ; §11 cohérence).</w:t>
      </w:r>
    </w:p>
    <w:p>
      <w:pPr>
        <w:pStyle w:val="Heading1"/>
      </w:pPr>
      <w:r>
        <w:t xml:space="preserve">2. Exigences fonctionnelles</w:t>
      </w:r>
    </w:p>
    <w:p>
      <w:pPr>
        <w:pStyle w:val="Heading2"/>
      </w:pPr>
      <w:r>
        <w:t xml:space="preserve">2.1 Comptes (CO, CPT)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750"/>
        <w:gridCol w:w="620"/>
        <w:gridCol w:w="1968"/>
      </w:tblGrid>
      <w:tr>
        <w:trPr>
          <w:cantSplit/>
          <w:tblHeader/>
        </w:trPr>
        <w:tc>
          <w:tcPr>
            <w:tcW w:type="dxa" w:w="1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57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w:t>
            </w:r>
          </w:p>
        </w:tc>
        <w:tc>
          <w:tcPr>
            <w:tcW w:type="dxa" w:w="62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196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Règles liées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EF-CO-001</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 créer un compte avec un nom, un type, une devise et un solde initial. Le solde initial n’est défini qu’à la création, si l’utilisateur possède déjà les fonds ; un compte créé vide a un solde initial nul.</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RB-CO-001, 002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EF-CO-002</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afficher les comptes actifs avec leur nom, type, devise et solde.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RB-CO-001</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EF-CO-003</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calculer le solde total par devise. Un total multi-devises n’est affiché qu’en devise de référence, avec une conversion identifiable.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RB-FX-003, 004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EF-CO-004</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 modifier les informations d’un compte, sans modification directe du solde (voir EF-CPT-002).</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RB-CO-001</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EF-CO-005</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 désactiver un compte sans supprimer son historique. Un compte d’épargne au solde non nul ne peut être désactivé tant que les fonds n’ont pas été transférés ou traités par une opération explicite.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RB-CO-003 ; V1.1 §3</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EF-CPT-002</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Après la création d’un compte, toute entrée ou sortie de fonds doit être enregistrée comme une opération financière ; le système ne doit pas permettre de modifier le solde directement en contournant l’historique.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RB-CO-004, RB-IN-005</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EF-CPT-004</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distinguer l’argent disponible, les soldes des comptes d’épargne et le patrimoine financier total, sans double comptabilisation.</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RB-AN-007, RB-EP-007, 008</w:t>
            </w:r>
          </w:p>
        </w:tc>
      </w:tr>
    </w:tbl>
    <w:p>
      <w:pPr>
        <w:pStyle w:val="Heading2"/>
      </w:pPr>
      <w:r>
        <w:t xml:space="preserve">2.2 Transactions (TR)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750"/>
        <w:gridCol w:w="620"/>
        <w:gridCol w:w="1968"/>
      </w:tblGrid>
      <w:tr>
        <w:trPr>
          <w:cantSplit/>
          <w:tblHeader/>
        </w:trPr>
        <w:tc>
          <w:tcPr>
            <w:tcW w:type="dxa" w:w="1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57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w:t>
            </w:r>
          </w:p>
        </w:tc>
        <w:tc>
          <w:tcPr>
            <w:tcW w:type="dxa" w:w="62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196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Règles liées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EF-TR-001</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d’enregistrer un revenu avec montant, devise, date, compte, catégorie et description. Un revenu est qualifié de régulier ou d’exceptionnel (voir EF-RE-006, 007).</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RB-RE-001 à 003</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EF-TR-002</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d’enregistrer une dépense avec montant, devise, date, compte, catégorie, nature et description. Toute dépense validée laisse une trace.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RB-DE-001 à 003</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EF-TR-003</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 transférer de l’argent d’un compte vers un autre : débit de la source et crédit de la destination validés ensemble de manière atomique. Un transfert n’est comptabilisé ni comme dépense de consommation ni comme revenu.</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RB-TR-001 à 004 ; V1.1 §11</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EF-TR-004</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vérifier la disponibilité des fonds avant une dépense ou un transfert. Si les fonds sont insuffisants, la dépense ne peut être validée que selon EF-SF-003 et EF-SF-004 ; un transfert ou un remboursement de dette est refusé (EF-TR-039).</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RB-SF-005 ; V1.2 §12.6</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EF-TR-005</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afficher l’ensemble des transactions avec leurs informations principales, y compris les opérations annulées, clairement marquées.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EF-TR-037</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EF-TR-006</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 modifier une transaction. Toute modification importante conserve l’ancienne et la nouvelle valeur, la date/heure et le motif s’il est fourni, puis recalcule les soldes, budgets, dettes, créances, épargne, alertes et analyses dépendants.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RB-IN-002 ; V1.1 §4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EF-TR-007</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d’annuler une transaction sans suppression physique : un événement d’historique (opération, date/heure, nature de l’action) est conservé et l’opération n’est plus comptée comme active.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RB-IN-003 ; V1.1 §3, §4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EF-TR-023</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 transfert entre devises différentes doit enregistrer le taux et le sens de conversion utilisés.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RB-TR-005, RB-FX-008</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EF-TR-024</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 transfert destiné à alimenter une épargne doit pouvoir être associé à l’opération d’épargne correspondante.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RB-TR-006</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EF-TR-026</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 régler une dépense par plusieurs paiements partiels, y compris en devises différentes ; chaque paiement conserve son montant, sa devise et les données de conversion. Le total est contrôlé en devise de référence.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§8</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EF-TR-033</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conserver les liens de causalité entre opérations liées (dépense et remboursement, créance et remboursement, dépense et prévision, source et dépense) afin que les corrections identifient leurs conséquences.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EF-TR-034</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d’enregistrer une transaction dont la nature est inconnue sous le statut « À qualifier », sans la classer comme revenu, dépense, transfert, remboursement, dette ou créance.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§10</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EF-TR-035</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Une opération « À qualifier » modifie le solde du compte concerné, car l’argent a réellement bougé, mais elle n’est comptée ni comme revenu, ni comme dépense, ni dans les budgets, analyses et indicateurs tant qu’elle n’est pas qualifiée ; elle est affichée à part. Le système peut rappeler les opérations non résolues ; à la qualification, les calculs concernés sont mis à jour et l’historique conservé.</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§10 ; V1.2 §12.5</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EF-TR-036</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signaler une transaction potentiellement dupliquée : même type, même compte, même devise, même montant et date identique ou proche (par défaut un jour d’écart, réglable) ; une description similaire renforce le signalement. L’utilisateur la confirme ou la fusionne (EF-TR-038), sans suppression ni blocage automatique.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§9 ; V1.2 §12.3</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EF-TR-037</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 consulter séparément l’historique des événements (création, modification, annulation, correction) et la situation financière courante recalculée.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EF-TR-038</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Lorsque l’utilisateur confirme un doublon, le système doit conserver l’opération d’origine et annuler la nouvelle avec un lien « doublon de », en permettant de reporter sur l’originale les informations complémentaires (note, catégorie, nature, description) sans modifier son montant. Une opération confirmée légitime n’est plus signalée pour la même paire.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§9 ; V1.2 §12.3</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EF-TR-039</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Lorsqu’une opération est refusée faute de fonds suffisants (dépense bloquée, transfert, remboursement de dette), le système n’enregistre aucune opération et ne modifie aucun solde, mais conserve la tentative refusée dans l’historique : date et heure, type d’opération, compte, montant, devise et motif du refus.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V1.2 §12.6</w:t>
            </w:r>
          </w:p>
        </w:tc>
      </w:tr>
    </w:tbl>
    <w:p>
      <w:pPr>
        <w:pStyle w:val="Heading2"/>
      </w:pPr>
      <w:r>
        <w:t xml:space="preserve">2.3 Catégories et qualification (TR)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750"/>
        <w:gridCol w:w="620"/>
        <w:gridCol w:w="1968"/>
      </w:tblGrid>
      <w:tr>
        <w:trPr>
          <w:cantSplit/>
          <w:tblHeader/>
        </w:trPr>
        <w:tc>
          <w:tcPr>
            <w:tcW w:type="dxa" w:w="1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57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w:t>
            </w:r>
          </w:p>
        </w:tc>
        <w:tc>
          <w:tcPr>
            <w:tcW w:type="dxa" w:w="62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196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Règles liées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EF-TR-008</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Chaque transaction doit pouvoir être associée à une catégorie.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RB-CA-001</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EF-TR-009</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L’utilisateur doit pouvoir créer et gérer des catégories personnalisées.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RB-CA-002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EF-TR-010</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L’utilisateur doit pouvoir modifier une catégorie personnalisée.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RB-CA-002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EF-TR-011</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L’utilisateur doit pouvoir désactiver une catégorie sans supprimer ni altérer les transactions historiques ; une catégorie utilisée n’est pas supprimée si cela détruit l’historique.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RB-CA-003, 004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EF-TR-012</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L’utilisateur doit pouvoir qualifier une dépense comme Nécessaire, Utile, Évitable ou Impulsive.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RB-DE-003, RB-QU-001</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EF-TR-013</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L’utilisateur doit pouvoir réévaluer la qualification d’une dépense sans modifier son montant.</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RB-DE-004, RB-QU-002, 004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EF-TR-014</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calculer les montants correspondant aux quatre niveaux de qualification.</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RB-QU-003, RB-AN-002</w:t>
            </w:r>
          </w:p>
        </w:tc>
      </w:tr>
    </w:tbl>
    <w:p>
      <w:pPr>
        <w:pStyle w:val="Heading2"/>
      </w:pPr>
      <w:r>
        <w:t xml:space="preserve">2.4 Recherche et filtrage (TR)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750"/>
        <w:gridCol w:w="620"/>
        <w:gridCol w:w="1968"/>
      </w:tblGrid>
      <w:tr>
        <w:trPr>
          <w:cantSplit/>
          <w:tblHeader/>
        </w:trPr>
        <w:tc>
          <w:tcPr>
            <w:tcW w:type="dxa" w:w="1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57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w:t>
            </w:r>
          </w:p>
        </w:tc>
        <w:tc>
          <w:tcPr>
            <w:tcW w:type="dxa" w:w="62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196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Règles liées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EF-TR-015</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 rechercher une transaction par texte.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EF-TR-016</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 filtrer par jour, semaine, mois, année ou période personnalisée.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EF-TR-017</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 filtrer par catégorie.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EF-TR-018</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 filtrer par compte.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EF-TR-019</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 filtrer par type (revenus, dépenses, transferts) et par statut (active, annulée, « À qualifier »).</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EF-TR-020</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 filtrer les dépenses par nature.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w:t>
            </w:r>
          </w:p>
        </w:tc>
      </w:tr>
    </w:tbl>
    <w:p>
      <w:pPr>
        <w:pStyle w:val="Heading2"/>
      </w:pPr>
      <w:r>
        <w:t xml:space="preserve">2.5 Sources de financement (SF)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750"/>
        <w:gridCol w:w="620"/>
        <w:gridCol w:w="1968"/>
      </w:tblGrid>
      <w:tr>
        <w:trPr>
          <w:cantSplit/>
          <w:tblHeader/>
        </w:trPr>
        <w:tc>
          <w:tcPr>
            <w:tcW w:type="dxa" w:w="1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57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w:t>
            </w:r>
          </w:p>
        </w:tc>
        <w:tc>
          <w:tcPr>
            <w:tcW w:type="dxa" w:w="62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196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Règles liées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EF-SF-001</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d’associer une ou plusieurs sources de financement à une dépense. Une dépense financée par plusieurs sources reste une seule dépense.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RB-SF-001, RB-DE-006</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EF-SF-002</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vérifier que la somme des sources de financement couvre exactement le montant de la dépense avant validation.</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RB-SF-002 ; V1.1 §5</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EF-SF-003</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Si une dépense dépasse les fonds disponibles, le système doit calculer le montant manquant et demander l’origine du manque comme source complémentaire explicite (par exemple don d’un tiers ou remboursement de dette omis).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RB-SF-005 ; V1.1 §5</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EF-SF-004</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Sans source explicite suffisante, le système doit empêcher la validation de la dépense.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RB-SF-005</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EF-SF-005</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conserver la nature de chaque source de financement.</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RB-SF-003, 004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EF-SF-006</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 prêt reçu d’un tiers doit être enregistré comme dette et non comme revenu.</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RB-SF-006, RB-DC-008</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EF-SF-007</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 transfert entre comptes de l’utilisateur ne doit pas être enregistré comme revenu.</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RB-SF-007</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EF-SF-009</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qu’une dépense soit couverte par plusieurs sources et qu’une source soit répartie entre plusieurs dépenses (allocations partielles), en conservant les montants affectés et les liens.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§5</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EF-SF-010</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 réaffecter une source uniquement après confirmation de l’utilisateur. Le changement est atomique (disponibilité de la nouvelle source, remplacement, contrôle des dépendances, recalcul) et historisé : ancienne et nouvelle répartition, heure, motif, cause, conséquences. En cas de déficit ou de surplus ambigu, le système propose des choix et ne réaffecte jamais seul.</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§5</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EF-SF-011</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Aucun fonds n’est réservé à l’avance : le solde disponible reflète les mouvements réellement enregistrés.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§5</w:t>
            </w:r>
          </w:p>
        </w:tc>
      </w:tr>
    </w:tbl>
    <w:p>
      <w:pPr>
        <w:pStyle w:val="Heading2"/>
      </w:pPr>
      <w:r>
        <w:t xml:space="preserve">2.6 Revenus et remboursements de dépenses (RE, RF)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750"/>
        <w:gridCol w:w="620"/>
        <w:gridCol w:w="1968"/>
      </w:tblGrid>
      <w:tr>
        <w:trPr>
          <w:cantSplit/>
          <w:tblHeader/>
        </w:trPr>
        <w:tc>
          <w:tcPr>
            <w:tcW w:type="dxa" w:w="1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57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w:t>
            </w:r>
          </w:p>
        </w:tc>
        <w:tc>
          <w:tcPr>
            <w:tcW w:type="dxa" w:w="62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196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Règles liées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EF-RE-006</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d’enregistrer l’argent offert par un tiers comme revenu exceptionnel.</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RB-RE-003 ; V1.1 §11</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EF-RE-007</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distinguer les revenus exceptionnels des revenus réguliers et des remboursements reçus.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RB-RE-004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EF-RF-001</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 remboursement reçu au titre d’une dépense doit être une opération distincte liée à la dépense d’origine. Les analyses calculent la dépense nette sans effacer le montant brut ni compter deux fois le remboursement. Les remboursements cumulés, le montant encore remboursable et tout excédent sont suivis.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§5</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EF-RF-002</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Si une dépense liée à un remboursement est modifiée ou annulée et que le remboursement dépasse le montant restant, le système doit signaler l’écart et demander à l’utilisateur de qualifier l’excédent, sans le transformer automatiquement en revenu.</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§5</w:t>
            </w:r>
          </w:p>
        </w:tc>
      </w:tr>
    </w:tbl>
    <w:p>
      <w:pPr>
        <w:pStyle w:val="Heading2"/>
      </w:pPr>
      <w:r>
        <w:t xml:space="preserve">2.7 Devises et taux de change (FX)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750"/>
        <w:gridCol w:w="620"/>
        <w:gridCol w:w="1968"/>
      </w:tblGrid>
      <w:tr>
        <w:trPr>
          <w:cantSplit/>
          <w:tblHeader/>
        </w:trPr>
        <w:tc>
          <w:tcPr>
            <w:tcW w:type="dxa" w:w="1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57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w:t>
            </w:r>
          </w:p>
        </w:tc>
        <w:tc>
          <w:tcPr>
            <w:tcW w:type="dxa" w:w="62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196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Règles liées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EF-FX-001</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gérer au minimum les devises USD et CDF.</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RB-FX-001</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EF-FX-002</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L’utilisateur doit pouvoir définir sa devise principale ou de référence.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RB-FX-004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EF-FX-003</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Chaque compte et chaque montant financier doit être associé à une devise.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RB-FX-002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EF-FX-004</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à l’utilisateur de définir et de modifier à tout moment le taux USD/CDF dans les paramètres. Le taux n’est jamais imposé, préenregistré ni mis à jour automatiquement : l’utilisateur le fixe lui-même, car il peut varier selon le pays ou le lieu.</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RB-FX-005 ; V1.2 §12.1</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EF-FX-005</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Chaque fixation du taux, y compris son initialisation, doit être historisée : ancienne valeur (aucune pour l’initialisation), nouvelle valeur, date/heure et motif facultatif.</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RB-FX-006 ; V1.2 §12.1</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EF-FX-006</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conserver l’historique des taux afin que les opérations historiques restent interprétables.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RB-IN-004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EF-FX-007</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 convertir des montants USD/CDF lorsque cela est nécessaire aux calculs, budgets ou analyses.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RB-FX-004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EF-FX-008</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Chaque conversion doit conserver la devise source, la devise cible, le montant converti, le taux appliqué et son sens.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RB-FX-008</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EF-FX-009</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ne doit jamais additionner directement des montants de devises différentes ; tout total multi-devises précise la devise de référence et une conversion identifiable.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RB-FX-003</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EF-FX-010</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Une modification du taux courant ne doit pas recalculer silencieusement les opérations passées, qui gardent montants, devises et taux d’origine.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RB-FX-007, RB-IN-006</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EF-FX-013</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Tant qu’aucun taux n’a été défini, le système doit demander son initialisation avant toute conversion USD/CDF et empêcher les opérations qui en dépendent. Les opérations dans une seule devise restent possibles.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V1.2 §12.1</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EF-FX-014</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Lors d’une opération qui exige une conversion, le système doit proposer le taux courant et permettre à l’utilisateur de le modifier pour cette seule opération. Le taux appliqué est conservé avec l’opération ; le taux courant des paramètres n’est pas modifié.</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RB-FX-008 ; V1.1 §7, §8 ; V1.2 §12.1</w:t>
            </w:r>
          </w:p>
        </w:tc>
      </w:tr>
    </w:tbl>
    <w:p>
      <w:pPr>
        <w:pStyle w:val="Heading2"/>
      </w:pPr>
      <w:r>
        <w:t xml:space="preserve">2.8 Dashboard (DA)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750"/>
        <w:gridCol w:w="620"/>
        <w:gridCol w:w="1968"/>
      </w:tblGrid>
      <w:tr>
        <w:trPr>
          <w:cantSplit/>
          <w:tblHeader/>
        </w:trPr>
        <w:tc>
          <w:tcPr>
            <w:tcW w:type="dxa" w:w="1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57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w:t>
            </w:r>
          </w:p>
        </w:tc>
        <w:tc>
          <w:tcPr>
            <w:tcW w:type="dxa" w:w="62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196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Règles liées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EF-DA-001</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afficher le solde global des comptes actifs, par devise et en devise de référence.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RB-AN-007</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EF-DA-002</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afficher le total des revenus de la période sélectionnée.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EF-DA-003</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afficher le total des dépenses de la période sélectionnée.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EF-DA-004</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afficher le montant épargné durant la période sélectionnée.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RB-EP-001</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EF-DA-005</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calculer le taux d’épargne : épargne / revenus pertinents × 100, si les revenus sont supérieurs à zéro.</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RB-EP, § calculs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EF-DA-006</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afficher la répartition des dépenses par catégorie.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RB-AN-001</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EF-DA-007</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dashboard doit distinguer l’argent disponible, l’épargne et le patrimoine financier.</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RB-AN-007</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EF-DA-008</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dashboard doit présenter l’épargne comme une sortie de l’argent disponible tout en la séparant des dépenses de consommation.</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RB-EP-001, 002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EF-DA-009</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Les indicateurs convertis doivent préciser la devise de référence utilisée.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RB-FX-003, 004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EF-DA-010</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Les analyses doivent distinguer revenus réguliers, revenus exceptionnels et remboursements reçus.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RB-RE-004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EF-DA-011</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dashboard doit pouvoir présenter, pour la période, les fonds disponibles, l’épargne, le patrimoine, les revenus, les dépenses, les budgets actifs ou dépassés, les dépenses non planifiées, les créances à recevoir et les dettes à payer.</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EF-DA-012</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La période par défaut est le mois courant ; l’utilisateur peut choisir aujourd’hui, semaine, mois, année, période précédente ou période personnalisée.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§2</w:t>
            </w:r>
          </w:p>
        </w:tc>
      </w:tr>
    </w:tbl>
    <w:p>
      <w:pPr>
        <w:pStyle w:val="Heading2"/>
      </w:pPr>
      <w:r>
        <w:t xml:space="preserve">2.9 Budget (BU)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750"/>
        <w:gridCol w:w="620"/>
        <w:gridCol w:w="1968"/>
      </w:tblGrid>
      <w:tr>
        <w:trPr>
          <w:cantSplit/>
          <w:tblHeader/>
        </w:trPr>
        <w:tc>
          <w:tcPr>
            <w:tcW w:type="dxa" w:w="1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57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w:t>
            </w:r>
          </w:p>
        </w:tc>
        <w:tc>
          <w:tcPr>
            <w:tcW w:type="dxa" w:w="62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196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Règles liées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EF-BU-001</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L’utilisateur doit pouvoir définir un budget pour une période donnée, dans une devise de référence.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RB-BU-001</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EF-BU-002</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 définir un budget global mensuel.</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RB-BU-002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EF-BU-003</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L’utilisateur doit pouvoir définir une limite pour chaque catégorie.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RB-BU-002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EF-BU-004</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comparer automatiquement le budget prévu aux dépenses réelles. Les transferts ne consomment pas un budget de dépenses ; l’épargne peut être un poste budgétaire distinct.</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RB-BU-003, 006, 007</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EF-BU-005</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signaler lorsqu’un budget est dépassé.</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RB-BU-005</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EF-BU-006</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calculer le taux de consommation de chaque budget : dépenses pertinentes / budget × 100.</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RB-BU-004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EF-BU-007</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 modifier un budget en cours de période en conservant l’historique des versions et les périodes d’application.</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§3, §4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EF-BU-008</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À la fin d’une période, le système doit clôturer le budget en conservant son historique ; le montant non consommé n’est pas reporté automatiquement.</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§3</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EF-BU-009</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 dépassement de budget déclenche un avertissement mais ne bloque pas à lui seul l’enregistrement d’une dépense réelle.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RB-BU-005, RB-AL-002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EF-BU-010</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Une même dépense peut apparaître dans plusieurs vues budgétaires mais n’est comptée qu’une fois dans les totaux financiers globaux.</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§5</w:t>
            </w:r>
          </w:p>
        </w:tc>
      </w:tr>
    </w:tbl>
    <w:p>
      <w:pPr>
        <w:pStyle w:val="Heading2"/>
      </w:pPr>
      <w:r>
        <w:t xml:space="preserve">2.10 Épargne (EP)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750"/>
        <w:gridCol w:w="620"/>
        <w:gridCol w:w="1968"/>
      </w:tblGrid>
      <w:tr>
        <w:trPr>
          <w:cantSplit/>
          <w:tblHeader/>
        </w:trPr>
        <w:tc>
          <w:tcPr>
            <w:tcW w:type="dxa" w:w="1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57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w:t>
            </w:r>
          </w:p>
        </w:tc>
        <w:tc>
          <w:tcPr>
            <w:tcW w:type="dxa" w:w="62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196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Règles liées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EF-EP-001</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L’utilisateur doit pouvoir créer un objectif d’épargne avec nom, montant cible, date limite facultative et description.</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RB-EP-005</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EF-EP-002</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L’utilisateur doit pouvoir alimenter un objectif par une contribution vers le compte d’épargne qui lui est associé.</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RB-EP-001, 003</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EF-EP-003</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calculer la progression de l’objectif : montant affecté / montant cible × 100.</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RB-EP-006</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EF-EP-004</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calculer le montant restant à épargner.</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RB-EP-006</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EF-EP-005</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conserver l’historique des contributions, transferts et retraits d’épargne et recalculer les soldes et indicateurs concernés.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RB-EP-006</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EF-EP-006</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Une contribution d’épargne doit diminuer l’argent disponible et augmenter les fonds détenus en épargne, sans être confondue avec une dépense de consommation ni augmenter artificiellement le patrimoine total.</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RB-EP-001, 002, 008</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EF-EP-007</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distinguer l’épargne des dépenses de consommation dans les tableaux de bord, analyses et rapports.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RB-EP-002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EF-EP-008</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L’épargne doit être matérialisée par un compte financier réel : l’utilisateur désigne un compte existant (par exemple un compte de monnaie mobile) ou crée un compte d’épargne dédié. L’épargne virtuelle n’est pas retenue.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RB-EP-003 ; V1.1 §11</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EF-EP-009</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associer une opération d’épargne à un transfert vers le compte d’épargne lorsque les fonds sont déplacés.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RB-EP-003, RB-TR-006</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EF-EP-010</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suivre séparément l’argent disponible, l’argent réservé en épargne et le patrimoine financier, l’épargne étant incluse dans le patrimoine sans être comptée deux fois.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RB-EP-007, 008, RB-AN-007</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EF-EP-014</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 compte d’épargne n’est associé qu’à un objectif à la fois. L’objectif sert au suivi et ne plafonne pas les dépôts.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§11</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EF-EP-016</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 retrait d’épargne doit être enregistré comme un mouvement du compte d’épargne vers l’argent disponible, et non comme un revenu.</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§11</w:t>
            </w:r>
          </w:p>
        </w:tc>
      </w:tr>
    </w:tbl>
    <w:p>
      <w:pPr>
        <w:pStyle w:val="Heading2"/>
      </w:pPr>
      <w:r>
        <w:t xml:space="preserve">2.11 Dettes et créances (DE)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750"/>
        <w:gridCol w:w="620"/>
        <w:gridCol w:w="1968"/>
      </w:tblGrid>
      <w:tr>
        <w:trPr>
          <w:cantSplit/>
          <w:tblHeader/>
        </w:trPr>
        <w:tc>
          <w:tcPr>
            <w:tcW w:type="dxa" w:w="1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57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w:t>
            </w:r>
          </w:p>
        </w:tc>
        <w:tc>
          <w:tcPr>
            <w:tcW w:type="dxa" w:w="62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196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Règles liées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EF-DE-001</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L’utilisateur doit pouvoir enregistrer une dette : somme due à une personne ou une organisation.</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RB-DC-001</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EF-DE-002</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L’utilisateur doit pouvoir enregistrer une créance : somme qu’un tiers lui doit.</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RB-DC-002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EF-DE-003</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d’enregistrer un remboursement partiel ou total.</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RB-DC-004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EF-DE-004</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recalculer automatiquement le montant restant : montant initial − remboursements validés.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RB-DC-003</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EF-DE-005</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marquer comme soldée une dette ou une créance dont le montant restant atteint zéro.</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RB-DC-007</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EF-DE-006</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Lorsqu’une créance est remboursée, le système doit créer automatiquement l’entrée financière correspondante dans le compte choisi par l’utilisateur, de manière atomique.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RB-DC-005</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EF-DE-008</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conserver le lien entre un remboursement et la créance ou la dette concernée.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EF-DE-009</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 remboursement reçu doit rester identifiable comme remboursement dans l’historique et les analyses.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RB-RE-004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EF-DE-011</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remboursement d’une dette doit être enregistré comme une sortie depuis un compte choisi, associée à cette dette.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RB-DC-006</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EF-DE-012</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montant appliqué à une dette ou à une créance ne peut dépasser le montant restant. Si le montant reçu ou payé le dépasse, le système doit signaler l’excédent et demander de corriger le montant ou de qualifier l’excédent : pour une créance, revenu exceptionnel ou autre nature ; pour une dette, dépense (frais, intérêts) ou créance sur le même tiers. L’excédent peut rester « À qualifier » à partir du lot 3. Il n’est jamais classé automatiquement en revenu.</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RB-DC-003, 004 ; V1.1 §5 ; V1.2 §12.2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EF-DE-013</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Lorsque la devise du compte diffère de celle de la dette ou de la créance, le restant reste tenu dans la devise d’origine et le paiement est converti avec le taux identifiable de l’opération (EF-FX-014), en conservant devise source, devise cible, montant converti, taux et sens. Aucun gain ou perte de change n’est enregistré automatiquement.</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RB-FX-008 ; V1.2 §12.2</w:t>
            </w:r>
          </w:p>
        </w:tc>
      </w:tr>
    </w:tbl>
    <w:p>
      <w:pPr>
        <w:pStyle w:val="Heading2"/>
      </w:pPr>
      <w:r>
        <w:t xml:space="preserve">2.12 Dépenses prévisionnelles et récurrentes (PV)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750"/>
        <w:gridCol w:w="620"/>
        <w:gridCol w:w="1968"/>
      </w:tblGrid>
      <w:tr>
        <w:trPr>
          <w:cantSplit/>
          <w:tblHeader/>
        </w:trPr>
        <w:tc>
          <w:tcPr>
            <w:tcW w:type="dxa" w:w="1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57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w:t>
            </w:r>
          </w:p>
        </w:tc>
        <w:tc>
          <w:tcPr>
            <w:tcW w:type="dxa" w:w="62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196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Règles liées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EF-PV-001</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gérer les états d’une prévision : Prévue, Réalisée, Annulée, Reportée, En retard. Une échéance dépassée ne devient jamais automatiquement une dépense réelle.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§6</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EF-PV-002</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Une prévision ne doit modifier ni les soldes ni les dépenses réelles tant qu’un paiement réel n’est pas confirmé et enregistré.</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§6</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EF-PV-003</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La réalisation d’une prévision doit créer ou lier une dépense réelle, après confirmation, sans double comptage. Une dépense réelle existante peut être associée à une ou plusieurs prévisions.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§6</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EF-PV-004</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prendre en charge les paiements partiels d’une prévision, suivre le montant restant, le report, la clôture avec solde impayé et le dépassement, sans forcer une égalité artificielle entre prévu et réel.</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§6</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EF-PV-005</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 modifier, suspendre, reprendre, annuler ou reporter une récurrence, pour une occurrence ou les suivantes, en conservant l’historique et sans modifier silencieusement les dépenses réelles passées. Les occurrences manquées ne sont pas générées rétroactivement sans décision de l’utilisateur.</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§6</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EF-PV-006</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 montant peut être exact ou estimé ; une estimation est clairement signalée et peut être corrigée avec traçabilité.</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§8</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EF-PV-007</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Les frais liés à un achat doivent être identifiés séparément et liés à la même opération, en distinguant frais prévus et frais réels.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§8</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EF-PV-008</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Une prévision dans une devise peut afficher une estimation dans la devise de paiement, avec taux identifiable ; le montant et la devise du paiement réel prévalent.</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§7</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EF-PV-009</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Pour une récurrence mensuelle fixée au 29, 30 ou 31, le système applique la règle choisie (dernier jour du mois ou omission) ; pour les jours non ouvrés, la date est conservée, avancée ou reportée. La date théorique et la date ajustée sont conservées.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§6</w:t>
            </w:r>
          </w:p>
        </w:tc>
      </w:tr>
    </w:tbl>
    <w:p>
      <w:pPr>
        <w:pStyle w:val="Heading2"/>
      </w:pPr>
      <w:r>
        <w:t xml:space="preserve">2.13 Analyse financière (AN)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750"/>
        <w:gridCol w:w="620"/>
        <w:gridCol w:w="1968"/>
      </w:tblGrid>
      <w:tr>
        <w:trPr>
          <w:cantSplit/>
          <w:tblHeader/>
        </w:trPr>
        <w:tc>
          <w:tcPr>
            <w:tcW w:type="dxa" w:w="1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57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w:t>
            </w:r>
          </w:p>
        </w:tc>
        <w:tc>
          <w:tcPr>
            <w:tcW w:type="dxa" w:w="62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196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Règles liées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EF-AN-001</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calculer le montant et le pourcentage dépensés dans chaque catégorie.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RB-AN-001</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EF-AN-002</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calculer les montants nécessaires, utiles, évitables et impulsifs.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RB-AN-002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EF-AN-003</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classer les catégories selon les montants dépensés et identifier la plus forte hausse.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RB-AN-003 ; V1.1 §2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EF-AN-004</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pouvoir détecter les dépenses répétitives lorsque les données sont suffisantes.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EF-AN-005</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pouvoir identifier les petites dépenses dont le cumul est significatif.</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RB-AN-004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EF-AN-006</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L’utilisateur doit pouvoir comparer deux périodes ; la période équivalente est proposée par défaut et modifiable.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RB-AN-005 ; V1.1 §2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EF-AN-007</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calculer les variations entre deux périodes.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RB-AN-005</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EF-AN-008</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identifier les catégories dont les dépenses dépassent le budget, et les dépassements récurrents.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RB-BU-005 ; V1.1 §2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EF-AN-009</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distinguer dépenses réelles, non planifiées et prévisionnelles. Une dépense non planifiée est une dépense réelle ni liée à une prévision, ni couverte par une limite du budget de la période (V1.2 §12.7) ; elle n’est pas automatiquement qualifiée d’inutile.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§2, §6 ; V1.2 §12.7</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EF-AN-010</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Les analyses et alertes comportementales doivent présenter indicateurs et justification de façon compréhensible, comme des constats, sans décider à la place de l’utilisateur. Elles reposent sur des règles explicites et des statistiques, sans apprentissage adaptatif.</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§2</w:t>
            </w:r>
          </w:p>
        </w:tc>
      </w:tr>
    </w:tbl>
    <w:p>
      <w:pPr>
        <w:pStyle w:val="Heading2"/>
      </w:pPr>
      <w:r>
        <w:t xml:space="preserve">2.14 Rapports et export (RA, 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750"/>
        <w:gridCol w:w="620"/>
        <w:gridCol w:w="1968"/>
      </w:tblGrid>
      <w:tr>
        <w:trPr>
          <w:cantSplit/>
          <w:tblHeader/>
        </w:trPr>
        <w:tc>
          <w:tcPr>
            <w:tcW w:type="dxa" w:w="1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57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w:t>
            </w:r>
          </w:p>
        </w:tc>
        <w:tc>
          <w:tcPr>
            <w:tcW w:type="dxa" w:w="62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196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Règles liées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EF-RA-001</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générer un bilan mensuel : revenus, dépenses, épargne, taux d’épargne, dépenses par catégorie et par nature, budgets, dépassements et comparaison avec la période précédente.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EF-RA-002</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 consulter une synthèse annuelle.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EF-RA-003</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l’export des transactions en CSV. L’export Excel est une évolution.</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 (CSV), 5</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§3</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EF-RA-004</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pourra permettre l’export d’un rapport financier en PDF.</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5</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w:t>
            </w:r>
          </w:p>
        </w:tc>
      </w:tr>
    </w:tbl>
    <w:p>
      <w:pPr>
        <w:pStyle w:val="Heading2"/>
      </w:pPr>
      <w:r>
        <w:t xml:space="preserve">2.15 Alertes (AL)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750"/>
        <w:gridCol w:w="620"/>
        <w:gridCol w:w="1968"/>
      </w:tblGrid>
      <w:tr>
        <w:trPr>
          <w:cantSplit/>
          <w:tblHeader/>
        </w:trPr>
        <w:tc>
          <w:tcPr>
            <w:tcW w:type="dxa" w:w="1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57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w:t>
            </w:r>
          </w:p>
        </w:tc>
        <w:tc>
          <w:tcPr>
            <w:tcW w:type="dxa" w:w="62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196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Règles liées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EF-AL-001</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avertir l’utilisateur lorsqu’un budget est dépassé.</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RB-AL-002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EF-AL-002</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L’utilisateur doit pouvoir définir un seuil d’alerte, par exemple à 80 % de consommation.</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RB-AL-001, 003</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EF-AL-003</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peut signaler, sous forme de constat, que les dépenses impulsives atteignent un niveau défini.</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EF-AL-004</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Les alertes doivent être configurables, contextualisées, graduées et limiter les répétitions inutiles. Les alertes importantes conservent un historique avec leur évolution et leur résolution.</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§2</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EF-AL-005</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Les notifications externes sont facultatives.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5</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§2</w:t>
            </w:r>
          </w:p>
        </w:tc>
      </w:tr>
    </w:tbl>
    <w:p>
      <w:pPr>
        <w:pStyle w:val="Heading2"/>
      </w:pPr>
      <w:r>
        <w:t xml:space="preserve">2.16 Paramètres (PA) et sauvegarde (SV)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750"/>
        <w:gridCol w:w="620"/>
        <w:gridCol w:w="1968"/>
      </w:tblGrid>
      <w:tr>
        <w:trPr>
          <w:cantSplit/>
          <w:tblHeader/>
        </w:trPr>
        <w:tc>
          <w:tcPr>
            <w:tcW w:type="dxa" w:w="1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57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w:t>
            </w:r>
          </w:p>
        </w:tc>
        <w:tc>
          <w:tcPr>
            <w:tcW w:type="dxa" w:w="62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196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Règles liées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EF-PA-003</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L’utilisateur doit pouvoir configurer les seuils d’analyse et d’alerte, la période par défaut du dashboard, la tolérance de date de la détection des doublons et les règles de calendrier des récurrences ; tout changement à impact historique est historisé. (La devise de référence est couverte par EF-FX-002, les catégories par EF-TR-009 à 011.)</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RB-AL-003 ; RB-IN-004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EF-SV-001</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la sauvegarde manuelle des données financières.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§3</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EF-SV-002</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de restaurer une sauvegarde : choix d’une sauvegarde, confirmation de l’utilisateur et, si possible, contrôle d’intégrité. Une sauvegarde de sécurité de l’état actuel est créée automatiquement avant tout remplacement.</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§3 ; V1.2 §12.8</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EF-SV-003</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Une restauration doit préserver les relations entre comptes, transactions, catégories, budgets, objectifs, dettes et liens entre opérations.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§3</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EF-SV-004</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prévoir une sauvegarde automatique selon une configuration simple.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§3</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EF-SV-006</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l’export des données financières dans un format exploitable, notamment CSV ; l’export est distinct de la sauvegarde technique.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§3</w:t>
            </w:r>
          </w:p>
        </w:tc>
      </w:tr>
    </w:tbl>
    <w:p>
      <w:pPr>
        <w:pStyle w:val="Heading2"/>
      </w:pPr>
      <w:r>
        <w:t xml:space="preserve">2.17 Accès et sécurité (AU)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750"/>
        <w:gridCol w:w="620"/>
        <w:gridCol w:w="1968"/>
      </w:tblGrid>
      <w:tr>
        <w:trPr>
          <w:cantSplit/>
          <w:tblHeader/>
        </w:trPr>
        <w:tc>
          <w:tcPr>
            <w:tcW w:type="dxa" w:w="1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57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w:t>
            </w:r>
          </w:p>
        </w:tc>
        <w:tc>
          <w:tcPr>
            <w:tcW w:type="dxa" w:w="62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196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Règles liées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EF-AU-001</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À la première utilisation, le système doit permettre à l’utilisateur de créer son accès (nom d’utilisateur et mot de passe) avec des règles minimales de robustesse et des messages d’erreur clairs.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ENF-006 ; V1.2 §12.4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EF-AU-002</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Toute consultation ou modification des données financières doit exiger une authentification valide ; l’API refuse les requêtes non authentifiées.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ENF-006 ; V1.2 §12.4</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EF-AU-003</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doit permettre la déconnexion et fermer la session après une période d’inactivité paramétrable.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ENF-006</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EF-AU-004</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L’utilisateur doit pouvoir changer son mot de passe en fournissant l’actuel.</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ENF-006</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EF-AU-005</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Après plusieurs échecs de connexion consécutifs, le système doit imposer un délai d’attente croissant et journaliser les tentatives sans donnée sensible.</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ENF-006, ENF-018</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EF-AU-006</w:t>
            </w:r>
          </w:p>
        </w:tc>
        <w:tc>
          <w:tcPr>
            <w:tcW w:type="dxa" w:w="57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À la création de l’accès, le système doit générer un code de récupération, affiché une seule fois, permettant de redéfinir le mot de passe sans perdre les données. L’utilisateur est averti qu’en cas de perte du mot de passe et du code, l’application ne peut pas rétablir l’accès.</w:t>
            </w:r>
          </w:p>
        </w:tc>
        <w:tc>
          <w:tcPr>
            <w:tcW w:type="dxa" w:w="62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196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ENF-006</w:t>
            </w:r>
          </w:p>
        </w:tc>
      </w:tr>
    </w:tbl>
    <w:p>
      <w:pPr>
        <w:pStyle w:val="Heading1"/>
      </w:pPr>
      <w:r>
        <w:t xml:space="preserve">3.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438"/>
      </w:tblGrid>
      <w:tr>
        <w:trPr>
          <w:cantSplit/>
          <w:tblHeader/>
        </w:trPr>
        <w:tc>
          <w:tcPr>
            <w:tcW w:type="dxa" w:w="1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19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Qualité</w:t>
            </w:r>
          </w:p>
        </w:tc>
        <w:tc>
          <w:tcPr>
            <w:tcW w:type="dxa" w:w="64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ENF-001</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Performance</w:t>
            </w:r>
          </w:p>
        </w:tc>
        <w:tc>
          <w:tcPr>
            <w:tcW w:type="dxa" w:w="64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Les opérations courantes d’affichage, de saisie et de consultation doivent être fluides sur une machine locale standard.</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ENF-002</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Ergonomie</w:t>
            </w:r>
          </w:p>
        </w:tc>
        <w:tc>
          <w:tcPr>
            <w:tcW w:type="dxa" w:w="64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L’enregistrement d’une dépense courante doit demander un nombre minimal d’actions et être compréhensible sans formation technique.</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ENF-003</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Responsive design</w:t>
            </w:r>
          </w:p>
        </w:tc>
        <w:tc>
          <w:tcPr>
            <w:tcW w:type="dxa" w:w="64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L’interface doit être utilisable sur ordinateur, tablette et téléphone.</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ENF-004</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Fiabilité et atomicité</w:t>
            </w:r>
          </w:p>
        </w:tc>
        <w:tc>
          <w:tcPr>
            <w:tcW w:type="dxa" w:w="64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Une opération financière validée est persistée de manière fiable, sans double enregistrement. Une opération composée (transfert, remboursement automatique, changement de source) et ses effets dérivés sont entièrement appliqués ou entièrement annulés ; aucun état partiellement appliqué n’est possible.</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ENF-005</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Intégrité et cohérence des données</w:t>
            </w:r>
          </w:p>
        </w:tc>
        <w:tc>
          <w:tcPr>
            <w:tcW w:type="dxa" w:w="64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Les relations entre comptes, transactions, catégories, budgets, objectifs, dettes et prévisions restent cohérentes. Soldes et indicateurs sont recalculables à partir des données enregistrées.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ENF-006</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Sécurité</w:t>
            </w:r>
          </w:p>
        </w:tc>
        <w:tc>
          <w:tcPr>
            <w:tcW w:type="dxa" w:w="64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Les données financières sont protégées contre les accès non autorisés par l’authentification (EF-AU-001 à 006). Les mots de passe et codes de récupération ne sont stockés que sous forme de hachage robuste, jamais en clair, et n’apparaissent ni dans les journaux ni dans les sauvegardes lisibles.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ENF-007</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Confidentialité</w:t>
            </w:r>
          </w:p>
        </w:tc>
        <w:tc>
          <w:tcPr>
            <w:tcW w:type="dxa" w:w="64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Les données financières restent privées et ne sont transmises à aucun service externe sans consentement explicite. Elles ne sont pas exposées dans les journaux techniques, les messages d’erreur ou les exports non demandés.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ENF-008</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Maintenabilité</w:t>
            </w:r>
          </w:p>
        </w:tc>
        <w:tc>
          <w:tcPr>
            <w:tcW w:type="dxa" w:w="64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code est organisé en modules, composants, services et repositories séparés. Les règles de calcul financier sont séparées de la présentation pour être testées indépendamment.</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ENF-009</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Évolutivité</w:t>
            </w:r>
          </w:p>
        </w:tc>
        <w:tc>
          <w:tcPr>
            <w:tcW w:type="dxa" w:w="64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L’architecture permet d’ajouter des fonctionnalités sans réécriture complète du système.</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ENF-010</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Testabilité</w:t>
            </w:r>
          </w:p>
        </w:tc>
        <w:tc>
          <w:tcPr>
            <w:tcW w:type="dxa" w:w="64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Les fonctionnalités critiques sont testables par des tests unitaires, d’API et d’intégration.</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ENF-011</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Compatibilité</w:t>
            </w:r>
          </w:p>
        </w:tc>
        <w:tc>
          <w:tcPr>
            <w:tcW w:type="dxa" w:w="64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L’application fonctionne sur les navigateurs modernes compatibles avec React et Vite.</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ENF-012</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Sauvegarde</w:t>
            </w:r>
          </w:p>
        </w:tc>
        <w:tc>
          <w:tcPr>
            <w:tcW w:type="dxa" w:w="64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Les données SQLite peuvent être sauvegardées et restaurées.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ENF-013</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Traçabilité</w:t>
            </w:r>
          </w:p>
        </w:tc>
        <w:tc>
          <w:tcPr>
            <w:tcW w:type="dxa" w:w="64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Les modifications importantes des données financières et les changements de paramètres à impact historique (taux, seuils) sont identifiables et auditables dans l’historique.</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ENF-014</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Accessibilité</w:t>
            </w:r>
          </w:p>
        </w:tc>
        <w:tc>
          <w:tcPr>
            <w:tcW w:type="dxa" w:w="64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Les interfaces utilisent des libellés explicites, une hiérarchie visuelle claire, des contrastes suffisants et des contrôles utilisables au clavier autant que possible.</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ENF-015</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Fonctionnement local</w:t>
            </w:r>
          </w:p>
        </w:tc>
        <w:tc>
          <w:tcPr>
            <w:tcW w:type="dxa" w:w="64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fonctionne localement avec SQLite, sans dépendre d’un service cloud ni d’une synchronisation multi-appareils pour ses fonctions essentielles.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ENF-017</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Prévention des erreurs</w:t>
            </w:r>
          </w:p>
        </w:tc>
        <w:tc>
          <w:tcPr>
            <w:tcW w:type="dxa" w:w="64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Les formulaires valident les données avant enregistrement et affichent des messages d’erreur compréhensibles.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ENF-018</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Observabilité technique</w:t>
            </w:r>
          </w:p>
        </w:tc>
        <w:tc>
          <w:tcPr>
            <w:tcW w:type="dxa" w:w="64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backend produit des logs suffisants pour diagnostiquer les erreurs, sans données financières sensibles.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ENF-019</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Portabilité des données</w:t>
            </w:r>
          </w:p>
        </w:tc>
        <w:tc>
          <w:tcPr>
            <w:tcW w:type="dxa" w:w="64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L’utilisateur peut récupérer ses données dans un format exploitable, notamment via l’export CSV.</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ENF-020</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Documentation</w:t>
            </w:r>
          </w:p>
        </w:tc>
        <w:tc>
          <w:tcPr>
            <w:tcW w:type="dxa" w:w="64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Les composants importants, endpoints et règles métier sont documentés.</w:t>
            </w:r>
          </w:p>
        </w:tc>
      </w:tr>
      <w:tr>
        <w:trPr>
          <w:cantSplit/>
        </w:trPr>
        <w:tc>
          <w:tcPr>
            <w:tcW w:type="dxa" w:w="1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ENF-023</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Cohérence multi-devises</w:t>
            </w:r>
          </w:p>
        </w:tc>
        <w:tc>
          <w:tcPr>
            <w:tcW w:type="dxa" w:w="64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système empêche les calculs qui additionnent directement des montants de devises différentes.</w:t>
            </w:r>
          </w:p>
        </w:tc>
      </w:tr>
    </w:tbl>
    <w:p>
      <w:pPr>
        <w:pStyle w:val="Heading1"/>
      </w:pPr>
      <w:r>
        <w:t xml:space="preserve">4. Critères de validation</w:t>
      </w:r>
    </w:p>
    <w:p>
      <w:pPr>
        <w:pStyle w:val="ListParagraph"/>
        <w:numPr>
          <w:ilvl w:val="0"/>
          <w:numId w:val="2"/>
        </w:numPr>
        <w:spacing w:after="60"/>
      </w:pPr>
      <w:r>
        <w:t xml:space="preserve">Chaque exigence du lot 1 est implémentée et testée avant la validation du noyau ; il en va de même pour chaque lot avant son passage.</w:t>
      </w:r>
    </w:p>
    <w:p>
      <w:pPr>
        <w:pStyle w:val="ListParagraph"/>
        <w:numPr>
          <w:ilvl w:val="0"/>
          <w:numId w:val="2"/>
        </w:numPr>
        <w:spacing w:after="60"/>
      </w:pPr>
      <w:r>
        <w:t xml:space="preserve">Une transaction valide modifie correctement les données financières concernées.</w:t>
      </w:r>
    </w:p>
    <w:p>
      <w:pPr>
        <w:pStyle w:val="ListParagraph"/>
        <w:numPr>
          <w:ilvl w:val="0"/>
          <w:numId w:val="2"/>
        </w:numPr>
        <w:spacing w:after="60"/>
      </w:pPr>
      <w:r>
        <w:t xml:space="preserve">Les transferts ne gonflent pas artificiellement les dépenses.</w:t>
      </w:r>
    </w:p>
    <w:p>
      <w:pPr>
        <w:pStyle w:val="ListParagraph"/>
        <w:numPr>
          <w:ilvl w:val="0"/>
          <w:numId w:val="2"/>
        </w:numPr>
        <w:spacing w:after="60"/>
      </w:pPr>
      <w:r>
        <w:t xml:space="preserve">Une transaction annulée reste consultable dans l’historique et n’est plus comptée comme active dans la situation recalculée.</w:t>
      </w:r>
    </w:p>
    <w:p>
      <w:pPr>
        <w:pStyle w:val="ListParagraph"/>
        <w:numPr>
          <w:ilvl w:val="0"/>
          <w:numId w:val="2"/>
        </w:numPr>
        <w:spacing w:after="60"/>
      </w:pPr>
      <w:r>
        <w:t xml:space="preserve">Un remboursement ne supprime pas la dépense d’origine et la dépense nette reste correcte.</w:t>
      </w:r>
    </w:p>
    <w:p>
      <w:pPr>
        <w:pStyle w:val="ListParagraph"/>
        <w:numPr>
          <w:ilvl w:val="0"/>
          <w:numId w:val="2"/>
        </w:numPr>
        <w:spacing w:after="60"/>
      </w:pPr>
      <w:r>
        <w:t xml:space="preserve">Un retrait d’épargne n’est pas un revenu ; une contribution d’épargne n’est pas une dépense de consommation.</w:t>
      </w:r>
    </w:p>
    <w:p>
      <w:pPr>
        <w:pStyle w:val="ListParagraph"/>
        <w:numPr>
          <w:ilvl w:val="0"/>
          <w:numId w:val="2"/>
        </w:numPr>
        <w:spacing w:after="60"/>
      </w:pPr>
      <w:r>
        <w:t xml:space="preserve">Une transaction « À qualifier » n’est pas comptée comme revenu ou dépense avant qualification.</w:t>
      </w:r>
    </w:p>
    <w:p>
      <w:pPr>
        <w:pStyle w:val="ListParagraph"/>
        <w:numPr>
          <w:ilvl w:val="0"/>
          <w:numId w:val="2"/>
        </w:numPr>
        <w:spacing w:after="60"/>
      </w:pPr>
      <w:r>
        <w:t xml:space="preserve">Une transaction potentiellement dupliquée déclenche un avertissement, sans décision automatique.</w:t>
      </w:r>
    </w:p>
    <w:p>
      <w:pPr>
        <w:pStyle w:val="ListParagraph"/>
        <w:numPr>
          <w:ilvl w:val="0"/>
          <w:numId w:val="2"/>
        </w:numPr>
        <w:spacing w:after="60"/>
      </w:pPr>
      <w:r>
        <w:t xml:space="preserve">Une prévision ne modifie pas le solde réel avant confirmation d’un paiement réel.</w:t>
      </w:r>
    </w:p>
    <w:p>
      <w:pPr>
        <w:pStyle w:val="ListParagraph"/>
        <w:numPr>
          <w:ilvl w:val="0"/>
          <w:numId w:val="2"/>
        </w:numPr>
        <w:spacing w:after="60"/>
      </w:pPr>
      <w:r>
        <w:t xml:space="preserve">Les conversions historiques restent interprétables après un changement de taux.</w:t>
      </w:r>
    </w:p>
    <w:p>
      <w:pPr>
        <w:pStyle w:val="ListParagraph"/>
        <w:numPr>
          <w:ilvl w:val="0"/>
          <w:numId w:val="2"/>
        </w:numPr>
        <w:spacing w:after="60"/>
      </w:pPr>
      <w:r>
        <w:t xml:space="preserve">Toute modification ou annulation d’une opération liée met à jour de façon cohérente les soldes et indicateurs, sans effacer les traces.</w:t>
      </w:r>
    </w:p>
    <w:p>
      <w:pPr>
        <w:pStyle w:val="ListParagraph"/>
        <w:numPr>
          <w:ilvl w:val="0"/>
          <w:numId w:val="2"/>
        </w:numPr>
        <w:spacing w:after="60"/>
      </w:pPr>
      <w:r>
        <w:t xml:space="preserve">Les données restent récupérables après sauvegarde et restauration.</w:t>
      </w:r>
    </w:p>
    <w:p>
      <w:pPr>
        <w:pStyle w:val="ListParagraph"/>
        <w:numPr>
          <w:ilvl w:val="0"/>
          <w:numId w:val="2"/>
        </w:numPr>
        <w:spacing w:after="60"/>
      </w:pPr>
      <w:r>
        <w:t xml:space="preserve">Les exigences de sécurité, intégrité, fiabilité et ergonomie sont vérifiées avant mise en service.</w:t>
      </w:r>
    </w:p>
    <w:p>
      <w:pPr>
        <w:pStyle w:val="Heading1"/>
      </w:pPr>
      <w:r>
        <w:t xml:space="preserve">5. Étapes suivantes</w:t>
      </w:r>
    </w:p>
    <w:p>
      <w:pPr>
        <w:spacing w:after="120"/>
      </w:pPr>
      <w:r>
        <w:t xml:space="preserve">Cas d’utilisation structurés et diagramme UML (Mermaid), critères d’acceptation, MCD/MLD, dictionnaire de données, architecture détaillée React/FastAPI, contrat d’API, spécifications UI/UX et stratégie de tests. Cette version reste à relire par le propriétaire du projet pour confirmer les lots attribués.</w:t>
      </w:r>
    </w:p>
    <w:p>
      <w:r>
        <w:br w:type="page"/>
      </w:r>
    </w:p>
    <w:p>
      <w:pPr>
        <w:pStyle w:val="Heading1"/>
      </w:pPr>
      <w:r>
        <w:t xml:space="preserve">Annexe A — Liste des changements</w:t>
      </w:r>
    </w:p>
    <w:p>
      <w:pPr>
        <w:spacing w:after="120"/>
      </w:pPr>
      <w:r>
        <w:t xml:space="preserve">Les sections A.1 à A.4 décrivent le passage de la V2.1 à la V2.2 ; la section A.5 décrit le passage de la V2.2 à la V2.3.</w:t>
      </w:r>
    </w:p>
    <w:p>
      <w:pPr>
        <w:pStyle w:val="Heading2"/>
      </w:pPr>
      <w:r>
        <w:t xml:space="preserve">A.1 Exigences fusionnées (V2.1 → V2.2, identifiant supprimé)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6038"/>
      </w:tblGrid>
      <w:tr>
        <w:trPr>
          <w:cantSplit/>
          <w:tblHeader/>
        </w:trPr>
        <w:tc>
          <w:tcPr>
            <w:tcW w:type="dxa" w:w="17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Ancien ID</w:t>
            </w:r>
          </w:p>
        </w:tc>
        <w:tc>
          <w:tcPr>
            <w:tcW w:type="dxa" w:w="19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Fusionné dans</w:t>
            </w:r>
          </w:p>
        </w:tc>
        <w:tc>
          <w:tcPr>
            <w:tcW w:type="dxa" w:w="60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Motif</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EF-CPT-001</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EF-CO-001</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Même sujet : solde initial à la création.</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EF-CPT-003</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EF-CO-005</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Même sujet : désactivation d’un compte.</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EF-TR-021, 022, 025</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EF-TR-003</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Répétaient la règle « un transfert n’est pas une dépense ».</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EF-TR-030</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EF-TR-007</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Doublon : annulation d’une transaction.</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EF-TR-031, 032</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EF-TR-006</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Recalcul et historisation d’une modification.</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EF-SF-008</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EF-SF-003</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Origine explicite du manque de fonds.</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EF-RE-010</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EF-RE-006, EF-SF-006</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Don = revenu exceptionnel ; prêt = dette (déjà couverts).</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EF-DE-007, 010</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EF-DE-006</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Choix du compte et entrée automatique du remboursement.</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EF-EP-011, 012</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EF-EP-010</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Suivi séparé disponible, épargne, patrimoine.</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EF-EP-013</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EF-EP-008</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Compte d’épargne réel.</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EF-EP-015</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EF-EP-006</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Effet d’une contribution d’épargne.</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EF-EP-017</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EF-EP-005</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Historique des contributions et retraits.</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EF-HI-002</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EF-FX-005</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Historisation du taux de change.</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EF-FX-011, 012</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EF-FX-008, 004</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Conversion identifiable ; modification du taux.</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EF-HI-001, 003, 004</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EF-TR-006, 007, 033 ; EF-FX-010 ; ENF-013</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Traçabilité et cohérence des soldes.</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EF-PA-001, 002</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EF-FX-002 ; EF-TR-009 à 011</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Doublons avec devise de référence et catégories.</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EF-SV-005</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EF-SV-003</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Intégrité à la restauration.</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ENF-016, 021, 025, 028</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ENF-004</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Atomicité des opérations composées.</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ENF-022</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ENF-013</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Traçabilité des paramètres historiques.</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ENF-024</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ENF-005</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Recalcul des soldes à partir des données.</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ENF-026</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ENF-008</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Séparation des règles de calcul.</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ENF-027</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ENF-015</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Fonctionnement local.</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ENF-029</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ENF-007</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Données sensibles dans les logs.</w:t>
            </w:r>
          </w:p>
        </w:tc>
      </w:tr>
    </w:tbl>
    <w:p>
      <w:pPr>
        <w:pStyle w:val="Heading2"/>
      </w:pPr>
      <w:r>
        <w:t xml:space="preserve">A.2 Exigences modifiées pour lever une contradiction (V2.1 → V2.2)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79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Modification</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EF-TR-007</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Intitulé « Supprimer une transaction » remplacé par « annuler » ; l’annulation est logique (V1.1 §3, §4).</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EF-TR-004</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contrôle des fonds n’interdit plus tout dépassement : il l’autorise si l’origine du manque est justifiée par une source explicite (EF-SF-003, 004).</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EF-EP-002</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L’alimentation d’un objectif passe par une contribution vers un compte d’épargne réel, non plus par une affectation abstraite de somme.</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EF-EP-008</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L’épargne virtuelle est exclue (V1.1 §11). Le cahier des charges V2.0 et la règle RB-EP-004 de la V1.0 l’admettaient encore.</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EF-RA-003</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Export « CSV ou Excel » ramené à CSV en priorité ; Excel passe en évolution (V1.1 §3).</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EF-AL-003</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Reformulé en constat, sans jugement automatique (EF-AN-010).</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EF-CO-003</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solde total est calculé par devise ; un total converti précise la devise de référence.</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EF-TR-005</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L’historique inclut les opérations annulées, marquées comme telles.</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EF-AL-001, 002 ; EF-BU-009</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Précision : un dépassement avertit mais ne bloque jamais une dépense réelle.</w:t>
            </w:r>
          </w:p>
        </w:tc>
      </w:tr>
    </w:tbl>
    <w:p>
      <w:pPr>
        <w:pStyle w:val="Heading2"/>
      </w:pPr>
      <w:r>
        <w:t xml:space="preserve">A.3 Exigences ajoutées (V2.1 → V2.2)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79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Contenu</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EF-SF-011</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Aucun fonds réservé à l’avance (V1.1 §5).</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EF-DA-012</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Période par défaut du dashboard et périodes proposées (V1.1 §2).</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EF-DE-011</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Remboursement d’une dette comme sortie liée (RB-DC-006).</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EF-PV-009</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Règles de calendrier des récurrences (V1.1 §6).</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EF-AL-004, 005</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Alertes graduées avec historique ; notifications externes facultatives (V1.1 §2).</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Colonnes « Lot » et « Règles liées »</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Nouvelles colonnes de traçabilité vers le cahier des charges et les règles métier.</w:t>
            </w:r>
          </w:p>
        </w:tc>
      </w:tr>
    </w:tbl>
    <w:p>
      <w:pPr>
        <w:pStyle w:val="Heading2"/>
      </w:pPr>
      <w:r>
        <w:t xml:space="preserve">A.4 Priorisation (V2.1 → V2.2)</w:t>
      </w:r>
    </w:p>
    <w:p>
      <w:pPr>
        <w:spacing w:after="120"/>
      </w:pPr>
      <w:r>
        <w:t xml:space="preserve">L’ancienne priorisation P0/P1/P2 est remplacée par les lots 1 à 5 du cahier des charges V2.1. Les fonctions USD/CDF, le contrôle des sources de financement, la distinction disponible/épargne/patrimoine, l’historisation du taux et les remboursements automatiques sont désormais des éléments du noyau (lots 1 et 2), non des options.</w:t>
      </w:r>
    </w:p>
    <w:p>
      <w:pPr>
        <w:pStyle w:val="Heading2"/>
      </w:pPr>
      <w:r>
        <w:t xml:space="preserve">A.5 Changements V2.2 → V2.3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79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Changement</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EF-FX-004</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taux est fixé par l’utilisateur, jamais imposé ni préenregistré ni automatique.</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EF-FX-005</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L’initialisation du taux est historisée comme chaque modification ; le motif devient facultatif.</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EF-TR-036</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Critères de détection précisés (type, compte, devise, montant, date proche réglable).</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EF-PA-003</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Ajout de la tolérance de date des doublons parmi les paramètres.</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ENF-006</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Authentification devenue une exigence ferme, renvoyant à EF-AU-001 à 006 ; hachage des secrets.</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EF-FX-013, 014</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Ajout : initialisation obligatoire du taux avant conversion ; taux modifiable par opération.</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EF-TR-038</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Ajout : résolution d’un doublon (conserver l’originale, annuler la nouvelle, fusion des informations).</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EF-TR-039</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Ajout (décision du propriétaire) : une action refusée faute de fonds n’enregistre aucune opération mais est historisée.</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EF-AN-009</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Précision (décision du propriétaire) : définition de la dépense non planifiée.</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EF-SV-002</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Précision (décision du propriétaire) : sauvegarde de sécurité automatique avant restauration.</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EF-DE-012, 013</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Ajout : excédent de remboursement et devises différentes pour dettes et créances.</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EF-TR-035</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Précision (décision du propriétaire) : une opération « À qualifier » modifie le solde du compte mais reste hors revenus, dépenses, budgets et analyses.</w:t>
            </w:r>
          </w:p>
        </w:tc>
      </w:tr>
      <w:tr>
        <w:trPr>
          <w:cantSplit/>
        </w:trPr>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EF-AU-001 à 006</w:t>
            </w:r>
          </w:p>
        </w:tc>
        <w:tc>
          <w:tcPr>
            <w:tcW w:type="dxa" w:w="7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Ajout : création de l’accès, authentification, session, changement de mot de passe, tentatives, code de récupération (lot 4).</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FinTrack — Exigences V2.3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FinTrack</dc:creator>
  <cp:lastModifiedBy>Un-named</cp:lastModifiedBy>
  <cp:revision>1</cp:revision>
  <dcterms:created xsi:type="dcterms:W3CDTF">2026-10-18T14:26:31.419Z</dcterms:created>
  <dcterms:modified xsi:type="dcterms:W3CDTF">2026-10-18T14:26:31.425Z</dcterms:modified>
</cp:coreProperties>
</file>

<file path=docProps/custom.xml><?xml version="1.0" encoding="utf-8"?>
<Properties xmlns="http://schemas.openxmlformats.org/officeDocument/2006/custom-properties" xmlns:vt="http://schemas.openxmlformats.org/officeDocument/2006/docPropsVTypes"/>
</file>