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A5F"/>
          <w:sz w:val="52"/>
          <w:szCs w:val="52"/>
        </w:rPr>
        <w:t xml:space="preserve">CAHIER DES CHARGES</w:t>
      </w:r>
    </w:p>
    <w:p>
      <w:pPr>
        <w:spacing w:after="120"/>
        <w:jc w:val="center"/>
      </w:pPr>
      <w:r>
        <w:rPr>
          <w:b/>
          <w:bCs/>
          <w:sz w:val="40"/>
          <w:szCs w:val="40"/>
        </w:rPr>
        <w:t xml:space="preserve">FINTRACK</w:t>
      </w:r>
    </w:p>
    <w:p>
      <w:pPr>
        <w:spacing w:after="120"/>
        <w:jc w:val="center"/>
      </w:pPr>
      <w:r>
        <w:rPr>
          <w:i/>
          <w:iCs/>
          <w:sz w:val="24"/>
          <w:szCs w:val="24"/>
        </w:rPr>
        <w:t xml:space="preserve">Application de gestion et d’analyse financière personnelle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Type de projet</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Application web de gestion financière personnelle, à usage local</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Frontend</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React + Vite + JavaScript</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Backend</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Python + FastAPI (Pydantic, SQLAlchemy)</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Base de données</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SQLite</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Version</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2.1 (consolidée)</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Date</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18 octobre 2026</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Statut</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Version de travail, à valider par le propriétaire du projet</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Documents de référence</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Règles métier V1.1 consolidée ; Exigences fonctionnelles et non fonctionnelles V2.2</w:t>
            </w:r>
          </w:p>
        </w:tc>
      </w:tr>
    </w:tbl>
    <w:p>
      <w:pPr>
        <w:spacing w:after="120"/>
      </w:pPr>
    </w:p>
    <w:p>
      <w:pPr>
        <w:pStyle w:val="Heading2"/>
      </w:pPr>
      <w:r>
        <w:t xml:space="preserve">Historique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638"/>
      </w:tblGrid>
      <w:tr>
        <w:trPr>
          <w:cantSplit/>
          <w:tblHeader/>
        </w:trPr>
        <w:tc>
          <w:tcPr>
            <w:tcW w:type="dxa" w:w="11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Version</w:t>
            </w:r>
          </w:p>
        </w:tc>
        <w:tc>
          <w:tcPr>
            <w:tcW w:type="dxa" w:w="19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Date</w:t>
            </w:r>
          </w:p>
        </w:tc>
        <w:tc>
          <w:tcPr>
            <w:tcW w:type="dxa" w:w="66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Évolution</w:t>
            </w:r>
          </w:p>
        </w:tc>
      </w:tr>
      <w:tr>
        <w:trPr>
          <w:cantSplit/>
        </w:trPr>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1.0</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Initiale</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Cahier des charges initial : modules, modèle de données, architecture, MVP en quatre versions.</w:t>
            </w:r>
          </w:p>
        </w:tc>
      </w:tr>
      <w:tr>
        <w:trPr>
          <w:cantSplit/>
        </w:trPr>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2.0</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28 août 2026</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Ajout d’une annexe A reprenant les premières décisions métier (épargne, devises USD/CDF, financement multiple, transferts, remboursements).</w:t>
            </w:r>
          </w:p>
        </w:tc>
      </w:tr>
      <w:tr>
        <w:trPr>
          <w:cantSplit/>
        </w:trPr>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2.1</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18 octobre 2026</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Réécriture consolidée : les décisions de l’annexe A et des règles métier V1.1 (jusqu’au point 100) sont intégrées au corps du document ; MVP réévalué en lots ; arborescence alignée sur le dépôt.</w:t>
            </w:r>
          </w:p>
        </w:tc>
      </w:tr>
    </w:tbl>
    <w:p>
      <w:pPr>
        <w:pBdr>
          <w:left w:val="single" w:color="1F3A5F" w:sz="18" w:space="8"/>
        </w:pBdr>
        <w:shd w:fill="F2F5F9" w:val="clear"/>
        <w:spacing w:after="160" w:before="120"/>
        <w:ind w:left="160"/>
      </w:pPr>
      <w:r>
        <w:rPr>
          <w:b/>
          <w:bCs/>
        </w:rPr>
        <w:t xml:space="preserve">Note de lecture.</w:t>
      </w:r>
      <w:r>
        <w:t xml:space="preserve"> Cette version 2.1 remplace la version 2.0 et ne comporte plus d’annexe de correction. Pour la logique financière, les règles métier V1.1 font foi. Une formulation antérieure qui les contredit (par exemple l’épargne « virtuelle » ou la « suppression » d’une transaction) ne doit plus être utilisée.</w:t>
      </w:r>
    </w:p>
    <w:p>
      <w:pPr>
        <w:pStyle w:val="Heading1"/>
      </w:pPr>
      <w:r>
        <w:t xml:space="preserve">1. Identification du projet</w:t>
      </w:r>
    </w:p>
    <w:p>
      <w:pPr>
        <w:spacing w:after="120"/>
      </w:pPr>
      <w:r>
        <w:rPr>
          <w:b/>
          <w:bCs/>
        </w:rPr>
        <w:t xml:space="preserve">Nom provisoire :</w:t>
      </w:r>
      <w:r>
        <w:t xml:space="preserve"> FinTrack.</w:t>
      </w:r>
    </w:p>
    <w:p>
      <w:pPr>
        <w:spacing w:after="120"/>
      </w:pPr>
      <w:r>
        <w:rPr>
          <w:b/>
          <w:bCs/>
        </w:rPr>
        <w:t xml:space="preserve">Type :</w:t>
      </w:r>
      <w:r>
        <w:t xml:space="preserve"> application web de gestion financière personnelle, conçue pour fonctionner localement.</w:t>
      </w:r>
    </w:p>
    <w:p>
      <w:pPr>
        <w:spacing w:after="120"/>
      </w:pPr>
      <w:r>
        <w:rPr>
          <w:b/>
          <w:bCs/>
        </w:rPr>
        <w:t xml:space="preserve">Objectif principal :</w:t>
      </w:r>
      <w:r>
        <w:t xml:space="preserve"> permettre à un utilisateur d’enregistrer, organiser, analyser et comprendre l’ensemble de ses flux financiers : combien il possède, d’où vient son argent, où il va, combien il dépense, dans quelles catégories, quelles dépenses sont nécessaires, utiles, évitables ou impulsives, combien il épargne, combien il doit et combien on lui doit.</w:t>
      </w:r>
    </w:p>
    <w:p>
      <w:pPr>
        <w:pStyle w:val="Heading1"/>
      </w:pPr>
      <w:r>
        <w:t xml:space="preserve">2. Problématique</w:t>
      </w:r>
    </w:p>
    <w:p>
      <w:pPr>
        <w:spacing w:after="120"/>
      </w:pPr>
      <w:r>
        <w:rPr>
          <w:b/>
          <w:bCs/>
        </w:rPr>
        <w:t xml:space="preserve">Contexte :</w:t>
      </w:r>
      <w:r>
        <w:t xml:space="preserve"> l’utilisateur reçoit de l’argent de sources variées, en plusieurs devises (USD et CDF), et effectue de nombreuses dépenses sans toujours les enregistrer. Il devient difficile de savoir où l’argent a été dépensé et d’identifier les dépenses inutiles.</w:t>
      </w:r>
    </w:p>
    <w:p>
      <w:pPr>
        <w:spacing w:after="120"/>
      </w:pPr>
      <w:r>
        <w:rPr>
          <w:b/>
          <w:bCs/>
        </w:rPr>
        <w:t xml:space="preserve">Problème central :</w:t>
      </w:r>
      <w:r>
        <w:t xml:space="preserve"> absence de traçabilité, d’organisation et d’analyse des flux financiers personnels.</w:t>
      </w:r>
    </w:p>
    <w:p>
      <w:pPr>
        <w:pStyle w:val="Heading1"/>
      </w:pPr>
      <w:r>
        <w:t xml:space="preserve">3. Vision du produit</w:t>
      </w:r>
    </w:p>
    <w:p>
      <w:pPr>
        <w:spacing w:after="120"/>
      </w:pPr>
      <w:r>
        <w:t xml:space="preserve">FinTrack n’est pas une simple liste de dépenses. C’est un système de pilotage financier personnel : argent reçu → enregistrement → argent disponible → dépense, transfert ou épargne → catégorisation → analyse → identification des habitudes → décision → amélioration financière.</w:t>
      </w:r>
    </w:p>
    <w:p>
      <w:pPr>
        <w:spacing w:after="120"/>
      </w:pPr>
      <w:r>
        <w:t xml:space="preserve">Le comportement attendu des analyses suit la chaîne : observer, analyser, détecter, expliquer, recommander, proposer une action, puis laisser l’utilisateur décider. Les changements financiers importants exigent une confirmation.</w:t>
      </w:r>
    </w:p>
    <w:p>
      <w:pPr>
        <w:pStyle w:val="Heading1"/>
      </w:pPr>
      <w:r>
        <w:t xml:space="preserve">4. Périmètre</w:t>
      </w:r>
    </w:p>
    <w:p>
      <w:pPr>
        <w:pStyle w:val="Heading2"/>
      </w:pPr>
      <w:r>
        <w:t xml:space="preserve">4.1 Inclus dans la première version complète</w:t>
      </w:r>
    </w:p>
    <w:p>
      <w:pPr>
        <w:pStyle w:val="ListParagraph"/>
        <w:numPr>
          <w:ilvl w:val="0"/>
          <w:numId w:val="2"/>
        </w:numPr>
        <w:spacing w:after="60"/>
      </w:pPr>
      <w:r>
        <w:t xml:space="preserve">Usage local simple (React, FastAPI, SQLite), sans dépendance obligatoire à un service cloud.</w:t>
      </w:r>
    </w:p>
    <w:p>
      <w:pPr>
        <w:pStyle w:val="ListParagraph"/>
        <w:numPr>
          <w:ilvl w:val="0"/>
          <w:numId w:val="2"/>
        </w:numPr>
        <w:spacing w:after="60"/>
      </w:pPr>
      <w:r>
        <w:t xml:space="preserve">Gestion multi-comptes et multi-devises (USD, CDF) avec taux de change historisé.</w:t>
      </w:r>
    </w:p>
    <w:p>
      <w:pPr>
        <w:pStyle w:val="ListParagraph"/>
        <w:numPr>
          <w:ilvl w:val="0"/>
          <w:numId w:val="2"/>
        </w:numPr>
        <w:spacing w:after="60"/>
      </w:pPr>
      <w:r>
        <w:t xml:space="preserve">Revenus, dépenses, transferts, épargne, dettes et créances, budgets, prévisions et récurrences.</w:t>
      </w:r>
    </w:p>
    <w:p>
      <w:pPr>
        <w:pStyle w:val="ListParagraph"/>
        <w:numPr>
          <w:ilvl w:val="0"/>
          <w:numId w:val="2"/>
        </w:numPr>
        <w:spacing w:after="60"/>
      </w:pPr>
      <w:r>
        <w:t xml:space="preserve">Traçabilité complète : annulation logique, historique des modifications, liens entre opérations.</w:t>
      </w:r>
    </w:p>
    <w:p>
      <w:pPr>
        <w:pStyle w:val="ListParagraph"/>
        <w:numPr>
          <w:ilvl w:val="0"/>
          <w:numId w:val="2"/>
        </w:numPr>
        <w:spacing w:after="60"/>
      </w:pPr>
      <w:r>
        <w:t xml:space="preserve">Analyses fondées sur des règles explicites et des statistiques, alertes configurables.</w:t>
      </w:r>
    </w:p>
    <w:p>
      <w:pPr>
        <w:pStyle w:val="ListParagraph"/>
        <w:numPr>
          <w:ilvl w:val="0"/>
          <w:numId w:val="2"/>
        </w:numPr>
        <w:spacing w:after="60"/>
      </w:pPr>
      <w:r>
        <w:t xml:space="preserve">Sauvegarde, restauration et export CSV.</w:t>
      </w:r>
    </w:p>
    <w:p>
      <w:pPr>
        <w:pStyle w:val="Heading2"/>
      </w:pPr>
      <w:r>
        <w:t xml:space="preserve">4.2 Hors périmètre de la première version</w:t>
      </w:r>
    </w:p>
    <w:p>
      <w:pPr>
        <w:pStyle w:val="ListParagraph"/>
        <w:numPr>
          <w:ilvl w:val="0"/>
          <w:numId w:val="2"/>
        </w:numPr>
        <w:spacing w:after="60"/>
      </w:pPr>
      <w:r>
        <w:t xml:space="preserve">Synchronisation multi-appareils.</w:t>
      </w:r>
    </w:p>
    <w:p>
      <w:pPr>
        <w:pStyle w:val="ListParagraph"/>
        <w:numPr>
          <w:ilvl w:val="0"/>
          <w:numId w:val="2"/>
        </w:numPr>
        <w:spacing w:after="60"/>
      </w:pPr>
      <w:r>
        <w:t xml:space="preserve">Apprentissage adaptatif des habitudes personnelles.</w:t>
      </w:r>
    </w:p>
    <w:p>
      <w:pPr>
        <w:pStyle w:val="ListParagraph"/>
        <w:numPr>
          <w:ilvl w:val="0"/>
          <w:numId w:val="2"/>
        </w:numPr>
        <w:spacing w:after="60"/>
      </w:pPr>
      <w:r>
        <w:t xml:space="preserve">Notifications externes (facultatives, prévues plus tard).</w:t>
      </w:r>
    </w:p>
    <w:p>
      <w:pPr>
        <w:pStyle w:val="ListParagraph"/>
        <w:numPr>
          <w:ilvl w:val="0"/>
          <w:numId w:val="2"/>
        </w:numPr>
        <w:spacing w:after="60"/>
      </w:pPr>
      <w:r>
        <w:t xml:space="preserve">Exports avancés (Excel, PDF) et version exécutable (dossier </w:t>
      </w:r>
      <w:r>
        <w:rPr>
          <w:rFonts w:ascii="Consolas" w:cs="Consolas" w:eastAsia="Consolas" w:hAnsi="Consolas"/>
          <w:sz w:val="20"/>
          <w:szCs w:val="20"/>
        </w:rPr>
        <w:t xml:space="preserve">exe</w:t>
      </w:r>
      <w:r>
        <w:t xml:space="preserve">), traités comme évolutions.</w:t>
      </w:r>
    </w:p>
    <w:p>
      <w:pPr>
        <w:pStyle w:val="Heading1"/>
      </w:pPr>
      <w:r>
        <w:t xml:space="preserve">5. Principes métier structurants</w:t>
      </w:r>
    </w:p>
    <w:p>
      <w:pPr>
        <w:spacing w:after="120"/>
      </w:pPr>
      <w:r>
        <w:t xml:space="preserve">Ces principes, issus des règles métier V1.1, s’appliquent à tous les modules.</w:t>
      </w:r>
    </w:p>
    <w:p>
      <w:pPr>
        <w:pStyle w:val="ListParagraph"/>
        <w:numPr>
          <w:ilvl w:val="0"/>
          <w:numId w:val="2"/>
        </w:numPr>
        <w:spacing w:after="60"/>
      </w:pPr>
      <w:r>
        <w:rPr>
          <w:b/>
          <w:bCs/>
        </w:rPr>
        <w:t xml:space="preserve">Traçabilité.</w:t>
      </w:r>
      <w:r>
        <w:t xml:space="preserve"> Toute variation de solde se rattache à une opération identifiable. « Aucun argent ne doit disparaître sans laisser de trace. »</w:t>
      </w:r>
    </w:p>
    <w:p>
      <w:pPr>
        <w:pStyle w:val="ListParagraph"/>
        <w:numPr>
          <w:ilvl w:val="0"/>
          <w:numId w:val="2"/>
        </w:numPr>
        <w:spacing w:after="60"/>
      </w:pPr>
      <w:r>
        <w:rPr>
          <w:b/>
          <w:bCs/>
        </w:rPr>
        <w:t xml:space="preserve">Annulation logique.</w:t>
      </w:r>
      <w:r>
        <w:t xml:space="preserve"> Une opération n’est jamais supprimée physiquement : elle est annulée, son événement d’historique est conservé et tous les soldes et indicateurs dépendants sont recalculés. Les comptes sont désactivés, pas supprimés.</w:t>
      </w:r>
    </w:p>
    <w:p>
      <w:pPr>
        <w:pStyle w:val="ListParagraph"/>
        <w:numPr>
          <w:ilvl w:val="0"/>
          <w:numId w:val="2"/>
        </w:numPr>
        <w:spacing w:after="60"/>
      </w:pPr>
      <w:r>
        <w:rPr>
          <w:b/>
          <w:bCs/>
        </w:rPr>
        <w:t xml:space="preserve">Historisation.</w:t>
      </w:r>
      <w:r>
        <w:t xml:space="preserve"> Toute modification importante conserve l’ancienne valeur, la nouvelle, la date/heure, la nature de la modification et, si fourni, le motif. Les paramètres qui influencent les calculs (taux de change, seuils) sont historisés.</w:t>
      </w:r>
    </w:p>
    <w:p>
      <w:pPr>
        <w:pStyle w:val="ListParagraph"/>
        <w:numPr>
          <w:ilvl w:val="0"/>
          <w:numId w:val="2"/>
        </w:numPr>
        <w:spacing w:after="60"/>
      </w:pPr>
      <w:r>
        <w:rPr>
          <w:b/>
          <w:bCs/>
        </w:rPr>
        <w:t xml:space="preserve">Liens causaux.</w:t>
      </w:r>
      <w:r>
        <w:t xml:space="preserve"> Les opérations liées (dépense et remboursement, créance et remboursement, dépense et prévision, source et dépense) conservent un lien, afin qu’une correction identifie ses conséquences.</w:t>
      </w:r>
    </w:p>
    <w:p>
      <w:pPr>
        <w:pStyle w:val="ListParagraph"/>
        <w:numPr>
          <w:ilvl w:val="0"/>
          <w:numId w:val="2"/>
        </w:numPr>
        <w:spacing w:after="60"/>
      </w:pPr>
      <w:r>
        <w:rPr>
          <w:b/>
          <w:bCs/>
        </w:rPr>
        <w:t xml:space="preserve">Atomicité.</w:t>
      </w:r>
      <w:r>
        <w:t xml:space="preserve"> Une opération composée (transfert, remboursement automatique, changement de source de financement) est appliquée entièrement ou pas du tout.</w:t>
      </w:r>
    </w:p>
    <w:p>
      <w:pPr>
        <w:pStyle w:val="ListParagraph"/>
        <w:numPr>
          <w:ilvl w:val="0"/>
          <w:numId w:val="2"/>
        </w:numPr>
        <w:spacing w:after="60"/>
      </w:pPr>
      <w:r>
        <w:rPr>
          <w:b/>
          <w:bCs/>
        </w:rPr>
        <w:t xml:space="preserve">Devises.</w:t>
      </w:r>
      <w:r>
        <w:t xml:space="preserve"> Chaque montant a une devise. Les montants USD et CDF ne sont jamais additionnés directement ; tout total converti précise la devise de référence et le taux utilisé.</w:t>
      </w:r>
    </w:p>
    <w:p>
      <w:pPr>
        <w:pStyle w:val="ListParagraph"/>
        <w:numPr>
          <w:ilvl w:val="0"/>
          <w:numId w:val="2"/>
        </w:numPr>
        <w:spacing w:after="60"/>
      </w:pPr>
      <w:r>
        <w:rPr>
          <w:b/>
          <w:bCs/>
        </w:rPr>
        <w:t xml:space="preserve">Indicateurs dérivés.</w:t>
      </w:r>
      <w:r>
        <w:t xml:space="preserve"> Soldes et indicateurs se calculent à partir des données enregistrées ; ils ne sont jamais saisis à la main et doivent être reproductibles.</w:t>
      </w:r>
    </w:p>
    <w:p>
      <w:pPr>
        <w:pStyle w:val="ListParagraph"/>
        <w:numPr>
          <w:ilvl w:val="0"/>
          <w:numId w:val="2"/>
        </w:numPr>
        <w:spacing w:after="60"/>
      </w:pPr>
      <w:r>
        <w:rPr>
          <w:b/>
          <w:bCs/>
        </w:rPr>
        <w:t xml:space="preserve">Pas de jugement automatique.</w:t>
      </w:r>
      <w:r>
        <w:t xml:space="preserve"> Une hausse, une baisse ou une dépense non planifiée est présentée comme un constat, jamais comme une faute. L’utilisateur reste maître de la qualification.</w:t>
      </w:r>
    </w:p>
    <w:p>
      <w:pPr>
        <w:pStyle w:val="ListParagraph"/>
        <w:numPr>
          <w:ilvl w:val="0"/>
          <w:numId w:val="2"/>
        </w:numPr>
        <w:spacing w:after="60"/>
      </w:pPr>
      <w:r>
        <w:rPr>
          <w:b/>
          <w:bCs/>
        </w:rPr>
        <w:t xml:space="preserve">Aucun fonds réservé à l’avance.</w:t>
      </w:r>
      <w:r>
        <w:t xml:space="preserve"> Le solde disponible reflète les mouvements réellement enregistrés ; une prévision ou un budget ne réserve pas d’argent.</w:t>
      </w:r>
    </w:p>
    <w:p>
      <w:pPr>
        <w:pStyle w:val="Heading2"/>
      </w:pPr>
      <w:r>
        <w:t xml:space="preserve">Trois notions à ne pas confondre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Notion</w:t>
            </w:r>
          </w:p>
        </w:tc>
        <w:tc>
          <w:tcPr>
            <w:tcW w:type="dxa" w:w="69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Définition</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Argent disponible</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Fonds actuellement utilisables pour les dépenses courantes.</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Argent réservé / épargne</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Fonds détenus dans un compte d’épargne réel, affectés à un objectif ou à une réserve, et non considérés comme disponibles pour les dépenses courantes.</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Patrimoine financier</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Ensemble des avoirs de l’utilisateur, épargne comprise, après conversion éventuelle dans la devise de référence et sans double comptage.</w:t>
            </w:r>
          </w:p>
        </w:tc>
      </w:tr>
    </w:tbl>
    <w:p>
      <w:pPr>
        <w:spacing w:after="120"/>
      </w:pPr>
    </w:p>
    <w:p>
      <w:pPr>
        <w:spacing w:after="120"/>
      </w:pPr>
      <w:r>
        <w:t xml:space="preserve">Exemple : 500 USD reçus et 100 USD épargnés laissent 400 USD disponibles ; les 100 USD restent dans le patrimoine.</w:t>
      </w:r>
    </w:p>
    <w:p>
      <w:pPr>
        <w:pStyle w:val="Heading1"/>
      </w:pPr>
      <w:r>
        <w:t xml:space="preserve">6. Modules fonctionnels</w:t>
      </w:r>
    </w:p>
    <w:p>
      <w:pPr>
        <w:spacing w:after="120"/>
      </w:pPr>
      <w:r>
        <w:t xml:space="preserve">Modules : Dashboard ; Transactions ; Comptes ; Devises et taux ; Catégories et qualification ; Budget ; Épargne ; Dettes et créances ; Prévisions et récurrences ; Analyse ; Alertes ; Rapports et export ; Sauvegarde ; Paramètres.</w:t>
      </w:r>
    </w:p>
    <w:p>
      <w:pPr>
        <w:pStyle w:val="Heading2"/>
      </w:pPr>
      <w:r>
        <w:t xml:space="preserve">6.1 Dashboard</w:t>
      </w:r>
    </w:p>
    <w:p>
      <w:pPr>
        <w:spacing w:after="120"/>
      </w:pPr>
      <w:r>
        <w:t xml:space="preserve">Première interface, destinée à comprendre rapidement la situation financière.</w:t>
      </w:r>
    </w:p>
    <w:p>
      <w:pPr>
        <w:pStyle w:val="ListParagraph"/>
        <w:numPr>
          <w:ilvl w:val="0"/>
          <w:numId w:val="2"/>
        </w:numPr>
        <w:spacing w:after="60"/>
      </w:pPr>
      <w:r>
        <w:rPr>
          <w:b/>
          <w:bCs/>
        </w:rPr>
        <w:t xml:space="preserve">Indicateurs :</w:t>
      </w:r>
      <w:r>
        <w:t xml:space="preserve"> argent disponible, épargne, patrimoine financier, revenus et dépenses de la période, épargne constituée, taux d’épargne, répartition par catégorie et par nature, budgets actifs et dépassés, dépenses non planifiées, créances à recevoir, dettes à payer.</w:t>
      </w:r>
    </w:p>
    <w:p>
      <w:pPr>
        <w:pStyle w:val="ListParagraph"/>
        <w:numPr>
          <w:ilvl w:val="0"/>
          <w:numId w:val="2"/>
        </w:numPr>
        <w:spacing w:after="60"/>
      </w:pPr>
      <w:r>
        <w:rPr>
          <w:b/>
          <w:bCs/>
        </w:rPr>
        <w:t xml:space="preserve">Période :</w:t>
      </w:r>
      <w:r>
        <w:t xml:space="preserve"> mois courant par défaut ; choix possible de aujourd’hui, semaine, mois, année, période précédente ou période personnalisée.</w:t>
      </w:r>
    </w:p>
    <w:p>
      <w:pPr>
        <w:pStyle w:val="ListParagraph"/>
        <w:numPr>
          <w:ilvl w:val="0"/>
          <w:numId w:val="2"/>
        </w:numPr>
        <w:spacing w:after="60"/>
      </w:pPr>
      <w:r>
        <w:rPr>
          <w:b/>
          <w:bCs/>
        </w:rPr>
        <w:t xml:space="preserve">Multi-devises :</w:t>
      </w:r>
      <w:r>
        <w:t xml:space="preserve"> lorsque des montants sont convertis, la devise de référence est indiquée.</w:t>
      </w:r>
    </w:p>
    <w:p>
      <w:pPr>
        <w:pStyle w:val="ListParagraph"/>
        <w:numPr>
          <w:ilvl w:val="0"/>
          <w:numId w:val="2"/>
        </w:numPr>
        <w:spacing w:after="60"/>
      </w:pPr>
      <w:r>
        <w:rPr>
          <w:b/>
          <w:bCs/>
        </w:rPr>
        <w:t xml:space="preserve">Épargne :</w:t>
      </w:r>
      <w:r>
        <w:t xml:space="preserve"> présentée comme une sortie de l’argent disponible, mais séparée des dépenses de consommation.</w:t>
      </w:r>
    </w:p>
    <w:p>
      <w:pPr>
        <w:pStyle w:val="ListParagraph"/>
        <w:numPr>
          <w:ilvl w:val="0"/>
          <w:numId w:val="2"/>
        </w:numPr>
        <w:spacing w:after="60"/>
      </w:pPr>
      <w:r>
        <w:rPr>
          <w:b/>
          <w:bCs/>
        </w:rPr>
        <w:t xml:space="preserve">Alertes :</w:t>
      </w:r>
      <w:r>
        <w:t xml:space="preserve"> dépassement de budget, dépenses impulsives élevées, évolution anormale d’une catégorie.</w:t>
      </w:r>
    </w:p>
    <w:p>
      <w:pPr>
        <w:pStyle w:val="Heading2"/>
      </w:pPr>
      <w:r>
        <w:t xml:space="preserve">6.2 Transactions</w:t>
      </w:r>
    </w:p>
    <w:p>
      <w:pPr>
        <w:spacing w:after="120"/>
      </w:pPr>
      <w:r>
        <w:rPr>
          <w:b/>
          <w:bCs/>
        </w:rPr>
        <w:t xml:space="preserve">Types :</w:t>
      </w:r>
      <w:r>
        <w:t xml:space="preserve"> revenu (régulier, exceptionnel ou remboursement reçu), dépense, transfert, opération d’épargne, remboursement de dette. Une opération de nature encore inconnue peut être enregistrée avec le statut « À qualifier ».</w:t>
      </w:r>
    </w:p>
    <w:p>
      <w:pPr>
        <w:spacing w:after="120"/>
      </w:pPr>
      <w:r>
        <w:rPr>
          <w:b/>
          <w:bCs/>
        </w:rPr>
        <w:t xml:space="preserve">Règle :</w:t>
      </w:r>
      <w:r>
        <w:t xml:space="preserve"> toute transaction doit être enregistrée, même pour un très petit montant.</w:t>
      </w:r>
    </w:p>
    <w:p>
      <w:pPr>
        <w:spacing w:after="120"/>
      </w:pPr>
      <w:r>
        <w:rPr>
          <w:b/>
          <w:bCs/>
        </w:rPr>
        <w:t xml:space="preserve">Dépense.</w:t>
      </w:r>
      <w:r>
        <w:t xml:space="preserve"> Montant, devise, date, compte, catégorie, nature (nécessaire, utile, évitable, impulsive), description et note.</w:t>
      </w:r>
    </w:p>
    <w:p>
      <w:pPr>
        <w:pStyle w:val="ListParagraph"/>
        <w:numPr>
          <w:ilvl w:val="0"/>
          <w:numId w:val="2"/>
        </w:numPr>
        <w:spacing w:after="60"/>
      </w:pPr>
      <w:r>
        <w:rPr>
          <w:b/>
          <w:bCs/>
        </w:rPr>
        <w:t xml:space="preserve">Sources de financement :</w:t>
      </w:r>
      <w:r>
        <w:t xml:space="preserve"> une dépense peut avoir plusieurs sources et une source peut financer plusieurs dépenses ; la somme des sources doit couvrir exactement le montant avant validation.</w:t>
      </w:r>
    </w:p>
    <w:p>
      <w:pPr>
        <w:pStyle w:val="ListParagraph"/>
        <w:numPr>
          <w:ilvl w:val="0"/>
          <w:numId w:val="2"/>
        </w:numPr>
        <w:spacing w:after="60"/>
      </w:pPr>
      <w:r>
        <w:rPr>
          <w:b/>
          <w:bCs/>
        </w:rPr>
        <w:t xml:space="preserve">Fonds insuffisants :</w:t>
      </w:r>
      <w:r>
        <w:t xml:space="preserve"> FinTrack calcule le montant manquant et exige une source complémentaire explicite, enregistrée selon sa véritable nature (don, remboursement, transfert…). Sans source, la validation est bloquée. Exemple : 10 USD disponibles et une dépense de 20 USD exigent 10 USD de source complémentaire.</w:t>
      </w:r>
    </w:p>
    <w:p>
      <w:pPr>
        <w:pStyle w:val="ListParagraph"/>
        <w:numPr>
          <w:ilvl w:val="0"/>
          <w:numId w:val="2"/>
        </w:numPr>
        <w:spacing w:after="60"/>
      </w:pPr>
      <w:r>
        <w:rPr>
          <w:b/>
          <w:bCs/>
        </w:rPr>
        <w:t xml:space="preserve">Réaffectation :</w:t>
      </w:r>
      <w:r>
        <w:t xml:space="preserve"> jamais automatique ; elle exige la confirmation de l’utilisateur et est atomique et historisée.</w:t>
      </w:r>
    </w:p>
    <w:p>
      <w:pPr>
        <w:pStyle w:val="ListParagraph"/>
        <w:numPr>
          <w:ilvl w:val="0"/>
          <w:numId w:val="2"/>
        </w:numPr>
        <w:spacing w:after="60"/>
      </w:pPr>
      <w:r>
        <w:rPr>
          <w:b/>
          <w:bCs/>
        </w:rPr>
        <w:t xml:space="preserve">Paiements partiels et multi-devises :</w:t>
      </w:r>
      <w:r>
        <w:t xml:space="preserve"> une dépense peut être réglée en plusieurs paiements, y compris en devises différentes ; chaque paiement garde son montant, sa devise et le taux effectivement utilisé.</w:t>
      </w:r>
    </w:p>
    <w:p>
      <w:pPr>
        <w:pStyle w:val="ListParagraph"/>
        <w:numPr>
          <w:ilvl w:val="0"/>
          <w:numId w:val="2"/>
        </w:numPr>
        <w:spacing w:after="60"/>
      </w:pPr>
      <w:r>
        <w:rPr>
          <w:b/>
          <w:bCs/>
        </w:rPr>
        <w:t xml:space="preserve">Frais :</w:t>
      </w:r>
      <w:r>
        <w:t xml:space="preserve"> les frais liés à un achat sont distingués du coût de l’achat et reliés au même paiement.</w:t>
      </w:r>
    </w:p>
    <w:p>
      <w:pPr>
        <w:pStyle w:val="ListParagraph"/>
        <w:numPr>
          <w:ilvl w:val="0"/>
          <w:numId w:val="2"/>
        </w:numPr>
        <w:spacing w:after="60"/>
      </w:pPr>
      <w:r>
        <w:rPr>
          <w:b/>
          <w:bCs/>
        </w:rPr>
        <w:t xml:space="preserve">Montants estimés :</w:t>
      </w:r>
      <w:r>
        <w:t xml:space="preserve"> un montant peut être exact ou estimé ; l’estimation est marquée comme telle et peut être corrigée avec historique.</w:t>
      </w:r>
    </w:p>
    <w:p>
      <w:pPr>
        <w:spacing w:after="120"/>
      </w:pPr>
      <w:r>
        <w:rPr>
          <w:b/>
          <w:bCs/>
        </w:rPr>
        <w:t xml:space="preserve">Transfert.</w:t>
      </w:r>
      <w:r>
        <w:t xml:space="preserve"> Déplace des fonds d’un compte source vers un compte destination, de façon atomique. Il n’est ni un revenu ni une dépense de consommation. Entre deux devises, le taux utilisé est identifiable. Un transfert alimentant une épargne peut être lié à l’opération d’épargne.</w:t>
      </w:r>
    </w:p>
    <w:p>
      <w:pPr>
        <w:spacing w:after="120"/>
      </w:pPr>
      <w:r>
        <w:rPr>
          <w:b/>
          <w:bCs/>
        </w:rPr>
        <w:t xml:space="preserve">Remboursement d’une dépense.</w:t>
      </w:r>
      <w:r>
        <w:t xml:space="preserve"> Opération distincte liée à la dépense d’origine : une dépense de 100 avec un remboursement de 30 donne une dépense nette de 70 sans effacer le montant brut. Si le remboursement dépasse la dépense restante, FinTrack demande à l’utilisateur de qualifier l’excédent au lieu de le classer en revenu.</w:t>
      </w:r>
    </w:p>
    <w:p>
      <w:pPr>
        <w:spacing w:after="120"/>
      </w:pPr>
      <w:r>
        <w:rPr>
          <w:b/>
          <w:bCs/>
        </w:rPr>
        <w:t xml:space="preserve">Modification et annulation.</w:t>
      </w:r>
      <w:r>
        <w:t xml:space="preserve"> Une modification conserve l’historique et recalcule soldes, budgets, dettes, créances, épargne, alertes et analyses. Annuler une dépense restaure ses effets financiers sans effacer l’événement. Si plusieurs traitements sont possibles pour une opération dépendante, l’utilisateur choisit.</w:t>
      </w:r>
    </w:p>
    <w:p>
      <w:pPr>
        <w:spacing w:after="120"/>
      </w:pPr>
      <w:r>
        <w:rPr>
          <w:b/>
          <w:bCs/>
        </w:rPr>
        <w:t xml:space="preserve">Doublons.</w:t>
      </w:r>
      <w:r>
        <w:t xml:space="preserve"> FinTrack compare montant, date, compte, catégorie et description pour signaler une saisie potentiellement dupliquée, sans jamais annuler ou supprimer seul.</w:t>
      </w:r>
    </w:p>
    <w:p>
      <w:pPr>
        <w:spacing w:after="120"/>
      </w:pPr>
      <w:r>
        <w:rPr>
          <w:b/>
          <w:bCs/>
        </w:rPr>
        <w:t xml:space="preserve">« À qualifier ».</w:t>
      </w:r>
      <w:r>
        <w:t xml:space="preserve"> Les montants en attente sont distingués des montants confirmés dans les analyses ; FinTrack peut rappeler les opérations non résolues et recalcule tout à la qualification.</w:t>
      </w:r>
    </w:p>
    <w:p>
      <w:pPr>
        <w:pStyle w:val="Heading2"/>
      </w:pPr>
      <w:r>
        <w:t xml:space="preserve">6.3 Comptes</w:t>
      </w:r>
    </w:p>
    <w:p>
      <w:pPr>
        <w:pStyle w:val="ListParagraph"/>
        <w:numPr>
          <w:ilvl w:val="0"/>
          <w:numId w:val="2"/>
        </w:numPr>
        <w:spacing w:after="60"/>
      </w:pPr>
      <w:r>
        <w:rPr>
          <w:b/>
          <w:bCs/>
        </w:rPr>
        <w:t xml:space="preserve">Types :</w:t>
      </w:r>
      <w:r>
        <w:t xml:space="preserve"> espèces, banque, Airtel Money, Orange Money, M-Pesa, carte bancaire, compte d’épargne ou type personnalisé.</w:t>
      </w:r>
    </w:p>
    <w:p>
      <w:pPr>
        <w:pStyle w:val="ListParagraph"/>
        <w:numPr>
          <w:ilvl w:val="0"/>
          <w:numId w:val="2"/>
        </w:numPr>
        <w:spacing w:after="60"/>
      </w:pPr>
      <w:r>
        <w:rPr>
          <w:b/>
          <w:bCs/>
        </w:rPr>
        <w:t xml:space="preserve">Informations :</w:t>
      </w:r>
      <w:r>
        <w:t xml:space="preserve"> nom, type, devise, solde initial, statut, date de création.</w:t>
      </w:r>
    </w:p>
    <w:p>
      <w:pPr>
        <w:pStyle w:val="ListParagraph"/>
        <w:numPr>
          <w:ilvl w:val="0"/>
          <w:numId w:val="2"/>
        </w:numPr>
        <w:spacing w:after="60"/>
      </w:pPr>
      <w:r>
        <w:rPr>
          <w:b/>
          <w:bCs/>
        </w:rPr>
        <w:t xml:space="preserve">Solde initial :</w:t>
      </w:r>
      <w:r>
        <w:t xml:space="preserve"> défini uniquement à la création, si l’utilisateur possède déjà les fonds ; nul pour un compte créé vide. Ensuite, le solde ne change que par des opérations enregistrées.</w:t>
      </w:r>
    </w:p>
    <w:p>
      <w:pPr>
        <w:pStyle w:val="ListParagraph"/>
        <w:numPr>
          <w:ilvl w:val="0"/>
          <w:numId w:val="2"/>
        </w:numPr>
        <w:spacing w:after="60"/>
      </w:pPr>
      <w:r>
        <w:rPr>
          <w:b/>
          <w:bCs/>
        </w:rPr>
        <w:t xml:space="preserve">Désactivation :</w:t>
      </w:r>
      <w:r>
        <w:t xml:space="preserve"> conserve l’historique et empêche les nouvelles opérations. Un compte d’épargne au solde non nul ne peut être désactivé avant un transfert ou un traitement explicite des fonds.</w:t>
      </w:r>
    </w:p>
    <w:p>
      <w:pPr>
        <w:pStyle w:val="ListParagraph"/>
        <w:numPr>
          <w:ilvl w:val="0"/>
          <w:numId w:val="2"/>
        </w:numPr>
        <w:spacing w:after="60"/>
      </w:pPr>
      <w:r>
        <w:rPr>
          <w:b/>
          <w:bCs/>
        </w:rPr>
        <w:t xml:space="preserve">Solde expliqué :</w:t>
      </w:r>
      <w:r>
        <w:t xml:space="preserve"> solde initial + entrées − sorties, transferts et conversions compris.</w:t>
      </w:r>
    </w:p>
    <w:p>
      <w:pPr>
        <w:pStyle w:val="Heading2"/>
      </w:pPr>
      <w:r>
        <w:t xml:space="preserve">6.4 Devises et taux de change</w:t>
      </w:r>
    </w:p>
    <w:p>
      <w:pPr>
        <w:pStyle w:val="ListParagraph"/>
        <w:numPr>
          <w:ilvl w:val="0"/>
          <w:numId w:val="2"/>
        </w:numPr>
        <w:spacing w:after="60"/>
      </w:pPr>
      <w:r>
        <w:t xml:space="preserve">USD et CDF au minimum ; une devise de référence peut servir aux budgets, tableaux de bord et comparaisons.</w:t>
      </w:r>
    </w:p>
    <w:p>
      <w:pPr>
        <w:pStyle w:val="ListParagraph"/>
        <w:numPr>
          <w:ilvl w:val="0"/>
          <w:numId w:val="2"/>
        </w:numPr>
        <w:spacing w:after="60"/>
      </w:pPr>
      <w:r>
        <w:t xml:space="preserve">Le taux USD/CDF est configurable. Chaque modification conserve l’ancienne valeur, la nouvelle, la date/heure et le motif.</w:t>
      </w:r>
    </w:p>
    <w:p>
      <w:pPr>
        <w:pStyle w:val="ListParagraph"/>
        <w:numPr>
          <w:ilvl w:val="0"/>
          <w:numId w:val="2"/>
        </w:numPr>
        <w:spacing w:after="60"/>
      </w:pPr>
      <w:r>
        <w:t xml:space="preserve">Une opération historique n’est jamais recalculée silencieusement avec un nouveau taux.</w:t>
      </w:r>
    </w:p>
    <w:p>
      <w:pPr>
        <w:pStyle w:val="ListParagraph"/>
        <w:numPr>
          <w:ilvl w:val="0"/>
          <w:numId w:val="2"/>
        </w:numPr>
        <w:spacing w:after="60"/>
      </w:pPr>
      <w:r>
        <w:t xml:space="preserve">Chaque conversion conserve devise source, devise cible, montant converti, taux et sens.</w:t>
      </w:r>
    </w:p>
    <w:p>
      <w:pPr>
        <w:pStyle w:val="ListParagraph"/>
        <w:numPr>
          <w:ilvl w:val="0"/>
          <w:numId w:val="2"/>
        </w:numPr>
        <w:spacing w:after="60"/>
      </w:pPr>
      <w:r>
        <w:t xml:space="preserve">Exemple : un budget de 100 USD couvert par 80 USD et 40 000 CDF, avec 1 USD = 2 000 CDF, compte 20 USD pour la partie CDF.</w:t>
      </w:r>
    </w:p>
    <w:p>
      <w:pPr>
        <w:pStyle w:val="Heading2"/>
      </w:pPr>
      <w:r>
        <w:t xml:space="preserve">6.5 Catégories et qualification</w:t>
      </w:r>
    </w:p>
    <w:p>
      <w:pPr>
        <w:pStyle w:val="ListParagraph"/>
        <w:numPr>
          <w:ilvl w:val="0"/>
          <w:numId w:val="2"/>
        </w:numPr>
        <w:spacing w:after="60"/>
      </w:pPr>
      <w:r>
        <w:rPr>
          <w:b/>
          <w:bCs/>
        </w:rPr>
        <w:t xml:space="preserve">Catégories proposées :</w:t>
      </w:r>
      <w:r>
        <w:t xml:space="preserve"> Alimentation ; Transport ; Communication/Internet ; Logement/charges ; Études ; Technologie ; Vêtements ; Loisirs ; Dons/aide familiale ; Santé ; Autres.</w:t>
      </w:r>
    </w:p>
    <w:p>
      <w:pPr>
        <w:pStyle w:val="ListParagraph"/>
        <w:numPr>
          <w:ilvl w:val="0"/>
          <w:numId w:val="2"/>
        </w:numPr>
        <w:spacing w:after="60"/>
      </w:pPr>
      <w:r>
        <w:rPr>
          <w:b/>
          <w:bCs/>
        </w:rPr>
        <w:t xml:space="preserve">Personnalisation :</w:t>
      </w:r>
      <w:r>
        <w:t xml:space="preserve"> création, modification et désactivation. Une catégorie utilisée n’est jamais supprimée si cela détruit l’historique ; désactivée, elle reste visible dans l’historique.</w:t>
      </w:r>
    </w:p>
    <w:p>
      <w:pPr>
        <w:pStyle w:val="ListParagraph"/>
        <w:numPr>
          <w:ilvl w:val="0"/>
          <w:numId w:val="2"/>
        </w:numPr>
        <w:spacing w:after="60"/>
      </w:pPr>
      <w:r>
        <w:rPr>
          <w:b/>
          <w:bCs/>
        </w:rPr>
        <w:t xml:space="preserve">Qualification :</w:t>
      </w:r>
      <w:r>
        <w:t xml:space="preserve"> Nécessaire (N), Utile (U), Évitable (E), Impulsive (I). Elle ne change jamais le montant, peut être réévaluée et sert aux agrégations.</w:t>
      </w:r>
    </w:p>
    <w:p>
      <w:pPr>
        <w:pStyle w:val="Heading2"/>
      </w:pPr>
      <w:r>
        <w:t xml:space="preserve">6.6 Budget</w:t>
      </w:r>
    </w:p>
    <w:p>
      <w:pPr>
        <w:pStyle w:val="ListParagraph"/>
        <w:numPr>
          <w:ilvl w:val="0"/>
          <w:numId w:val="2"/>
        </w:numPr>
        <w:spacing w:after="60"/>
      </w:pPr>
      <w:r>
        <w:t xml:space="preserve">Budget global ou par catégorie, avec une période et une devise de référence.</w:t>
      </w:r>
    </w:p>
    <w:p>
      <w:pPr>
        <w:pStyle w:val="ListParagraph"/>
        <w:numPr>
          <w:ilvl w:val="0"/>
          <w:numId w:val="2"/>
        </w:numPr>
        <w:spacing w:after="60"/>
      </w:pPr>
      <w:r>
        <w:t xml:space="preserve">Comparaison automatique du prévu et du réel, taux de consommation, détection des dépassements.</w:t>
      </w:r>
    </w:p>
    <w:p>
      <w:pPr>
        <w:pStyle w:val="ListParagraph"/>
        <w:numPr>
          <w:ilvl w:val="0"/>
          <w:numId w:val="2"/>
        </w:numPr>
        <w:spacing w:after="60"/>
      </w:pPr>
      <w:r>
        <w:t xml:space="preserve">Un dépassement avertit mais ne bloque jamais l’enregistrement d’une dépense réelle.</w:t>
      </w:r>
    </w:p>
    <w:p>
      <w:pPr>
        <w:pStyle w:val="ListParagraph"/>
        <w:numPr>
          <w:ilvl w:val="0"/>
          <w:numId w:val="2"/>
        </w:numPr>
        <w:spacing w:after="60"/>
      </w:pPr>
      <w:r>
        <w:t xml:space="preserve">Un budget peut être modifié en cours de période en gardant l’historique de ses versions ; à la fin de la période il est clôturé et le non-consommé n’est pas reporté automatiquement.</w:t>
      </w:r>
    </w:p>
    <w:p>
      <w:pPr>
        <w:pStyle w:val="ListParagraph"/>
        <w:numPr>
          <w:ilvl w:val="0"/>
          <w:numId w:val="2"/>
        </w:numPr>
        <w:spacing w:after="60"/>
      </w:pPr>
      <w:r>
        <w:t xml:space="preserve">Les transferts ne consomment pas un budget de dépenses. L’épargne peut être planifiée comme poste budgétaire distinct.</w:t>
      </w:r>
    </w:p>
    <w:p>
      <w:pPr>
        <w:pStyle w:val="ListParagraph"/>
        <w:numPr>
          <w:ilvl w:val="0"/>
          <w:numId w:val="2"/>
        </w:numPr>
        <w:spacing w:after="60"/>
      </w:pPr>
      <w:r>
        <w:t xml:space="preserve">Une même dépense peut apparaître dans plusieurs vues budgétaires mais n’est comptée qu’une fois dans les totaux globaux.</w:t>
      </w:r>
    </w:p>
    <w:p>
      <w:pPr>
        <w:pStyle w:val="Heading2"/>
      </w:pPr>
      <w:r>
        <w:t xml:space="preserve">6.7 Épargne</w:t>
      </w:r>
    </w:p>
    <w:p>
      <w:pPr>
        <w:pStyle w:val="ListParagraph"/>
        <w:numPr>
          <w:ilvl w:val="0"/>
          <w:numId w:val="2"/>
        </w:numPr>
        <w:spacing w:after="60"/>
      </w:pPr>
      <w:r>
        <w:rPr>
          <w:b/>
          <w:bCs/>
        </w:rPr>
        <w:t xml:space="preserve">Compte réel uniquement :</w:t>
      </w:r>
      <w:r>
        <w:t xml:space="preserve"> l’épargne est toujours portée par un compte réel (compte existant désigné comme compte d’épargne, ou compte dédié). L’épargne virtuelle n’est pas retenue.</w:t>
      </w:r>
    </w:p>
    <w:p>
      <w:pPr>
        <w:pStyle w:val="ListParagraph"/>
        <w:numPr>
          <w:ilvl w:val="0"/>
          <w:numId w:val="2"/>
        </w:numPr>
        <w:spacing w:after="60"/>
      </w:pPr>
      <w:r>
        <w:rPr>
          <w:b/>
          <w:bCs/>
        </w:rPr>
        <w:t xml:space="preserve">Contribution :</w:t>
      </w:r>
      <w:r>
        <w:t xml:space="preserve"> sortie de l’argent disponible et affectation à l’épargne ; matérialisée par un transfert vers le compte d’épargne ; distincte de la consommation ; n’augmente pas artificiellement le patrimoine.</w:t>
      </w:r>
    </w:p>
    <w:p>
      <w:pPr>
        <w:pStyle w:val="ListParagraph"/>
        <w:numPr>
          <w:ilvl w:val="0"/>
          <w:numId w:val="2"/>
        </w:numPr>
        <w:spacing w:after="60"/>
      </w:pPr>
      <w:r>
        <w:rPr>
          <w:b/>
          <w:bCs/>
        </w:rPr>
        <w:t xml:space="preserve">Retrait :</w:t>
      </w:r>
      <w:r>
        <w:t xml:space="preserve"> mouvement du compte d’épargne vers l’argent disponible ; ce n’est pas un revenu.</w:t>
      </w:r>
    </w:p>
    <w:p>
      <w:pPr>
        <w:pStyle w:val="ListParagraph"/>
        <w:numPr>
          <w:ilvl w:val="0"/>
          <w:numId w:val="2"/>
        </w:numPr>
        <w:spacing w:after="60"/>
      </w:pPr>
      <w:r>
        <w:rPr>
          <w:b/>
          <w:bCs/>
        </w:rPr>
        <w:t xml:space="preserve">Objectif :</w:t>
      </w:r>
      <w:r>
        <w:t xml:space="preserve"> nom, montant cible, date limite facultative, description. Un compte d’épargne n’est associé qu’à un objectif à la fois ; l’objectif sert au suivi et ne plafonne pas les dépôts.</w:t>
      </w:r>
    </w:p>
    <w:p>
      <w:pPr>
        <w:pStyle w:val="ListParagraph"/>
        <w:numPr>
          <w:ilvl w:val="0"/>
          <w:numId w:val="2"/>
        </w:numPr>
        <w:spacing w:after="60"/>
      </w:pPr>
      <w:r>
        <w:rPr>
          <w:b/>
          <w:bCs/>
        </w:rPr>
        <w:t xml:space="preserve">Suivi :</w:t>
      </w:r>
      <w:r>
        <w:t xml:space="preserve"> progression (affecté / cible × 100), montant restant, historique des contributions et retraits.</w:t>
      </w:r>
    </w:p>
    <w:p>
      <w:pPr>
        <w:pStyle w:val="Heading2"/>
      </w:pPr>
      <w:r>
        <w:t xml:space="preserve">6.8 Dettes et créances</w:t>
      </w:r>
    </w:p>
    <w:p>
      <w:pPr>
        <w:pStyle w:val="ListParagraph"/>
        <w:numPr>
          <w:ilvl w:val="0"/>
          <w:numId w:val="2"/>
        </w:numPr>
        <w:spacing w:after="60"/>
      </w:pPr>
      <w:r>
        <w:rPr>
          <w:b/>
          <w:bCs/>
        </w:rPr>
        <w:t xml:space="preserve">Dette :</w:t>
      </w:r>
      <w:r>
        <w:t xml:space="preserve"> somme que l’utilisateur doit. </w:t>
      </w:r>
      <w:r>
        <w:rPr>
          <w:b/>
          <w:bCs/>
        </w:rPr>
        <w:t xml:space="preserve">Créance :</w:t>
      </w:r>
      <w:r>
        <w:t xml:space="preserve"> somme qu’un tiers lui doit. Chacune conserve montant initial et montant restant.</w:t>
      </w:r>
    </w:p>
    <w:p>
      <w:pPr>
        <w:pStyle w:val="ListParagraph"/>
        <w:numPr>
          <w:ilvl w:val="0"/>
          <w:numId w:val="2"/>
        </w:numPr>
        <w:spacing w:after="60"/>
      </w:pPr>
      <w:r>
        <w:t xml:space="preserve">Un prêt reçu est une dette, pas un revenu.</w:t>
      </w:r>
    </w:p>
    <w:p>
      <w:pPr>
        <w:pStyle w:val="ListParagraph"/>
        <w:numPr>
          <w:ilvl w:val="0"/>
          <w:numId w:val="2"/>
        </w:numPr>
        <w:spacing w:after="60"/>
      </w:pPr>
      <w:r>
        <w:t xml:space="preserve">Un remboursement reçu sur une créance crée automatiquement une entrée dans le compte choisi, reste identifiable comme remboursement et reste lié à la créance. Exemple : 100 USD de créance remboursés de 40 USD donnent 40 USD d’entrée et 60 USD restants.</w:t>
      </w:r>
    </w:p>
    <w:p>
      <w:pPr>
        <w:pStyle w:val="ListParagraph"/>
        <w:numPr>
          <w:ilvl w:val="0"/>
          <w:numId w:val="2"/>
        </w:numPr>
        <w:spacing w:after="60"/>
      </w:pPr>
      <w:r>
        <w:t xml:space="preserve">Le remboursement d’une dette est une sortie liée à cette dette.</w:t>
      </w:r>
    </w:p>
    <w:p>
      <w:pPr>
        <w:pStyle w:val="ListParagraph"/>
        <w:numPr>
          <w:ilvl w:val="0"/>
          <w:numId w:val="2"/>
        </w:numPr>
        <w:spacing w:after="60"/>
      </w:pPr>
      <w:r>
        <w:t xml:space="preserve">Remboursement partiel ou total ; un montant restant nul donne le statut SOLDÉE.</w:t>
      </w:r>
    </w:p>
    <w:p>
      <w:pPr>
        <w:pStyle w:val="Heading2"/>
      </w:pPr>
      <w:r>
        <w:t xml:space="preserve">6.9 Prévisions et récurrences</w:t>
      </w:r>
    </w:p>
    <w:p>
      <w:pPr>
        <w:pStyle w:val="ListParagraph"/>
        <w:numPr>
          <w:ilvl w:val="0"/>
          <w:numId w:val="2"/>
        </w:numPr>
        <w:spacing w:after="60"/>
      </w:pPr>
      <w:r>
        <w:t xml:space="preserve">Une prévision a une échéance, une catégorie, un compte suggéré, un montant et une fréquence (quotidienne, hebdomadaire, mensuelle, annuelle ou personnalisée).</w:t>
      </w:r>
    </w:p>
    <w:p>
      <w:pPr>
        <w:pStyle w:val="ListParagraph"/>
        <w:numPr>
          <w:ilvl w:val="0"/>
          <w:numId w:val="2"/>
        </w:numPr>
        <w:spacing w:after="60"/>
      </w:pPr>
      <w:r>
        <w:t xml:space="preserve">Elle n’affecte ni le solde réel ni les dépenses réelles tant qu’un paiement n’est pas enregistré ; une échéance dépassée ne devient jamais automatiquement une dépense.</w:t>
      </w:r>
    </w:p>
    <w:p>
      <w:pPr>
        <w:pStyle w:val="ListParagraph"/>
        <w:numPr>
          <w:ilvl w:val="0"/>
          <w:numId w:val="2"/>
        </w:numPr>
        <w:spacing w:after="60"/>
      </w:pPr>
      <w:r>
        <w:t xml:space="preserve">États : Prévue, Réalisée, Annulée, Reportée, En retard.</w:t>
      </w:r>
    </w:p>
    <w:p>
      <w:pPr>
        <w:pStyle w:val="ListParagraph"/>
        <w:numPr>
          <w:ilvl w:val="0"/>
          <w:numId w:val="2"/>
        </w:numPr>
        <w:spacing w:after="60"/>
      </w:pPr>
      <w:r>
        <w:t xml:space="preserve">La réalisation, après confirmation, crée ou lie une dépense réelle ; paiements partiels, report, clôture avec solde impayé et dépassement sont suivis sans double comptage.</w:t>
      </w:r>
    </w:p>
    <w:p>
      <w:pPr>
        <w:pStyle w:val="ListParagraph"/>
        <w:numPr>
          <w:ilvl w:val="0"/>
          <w:numId w:val="2"/>
        </w:numPr>
        <w:spacing w:after="60"/>
      </w:pPr>
      <w:r>
        <w:t xml:space="preserve">Les changements s’appliquent à une occurrence ou aux suivantes, jamais aux dépenses réelles passées. Suspension et reprise ne génèrent pas rétroactivement les occurrences manquées sans décision de l’utilisateur.</w:t>
      </w:r>
    </w:p>
    <w:p>
      <w:pPr>
        <w:pStyle w:val="ListParagraph"/>
        <w:numPr>
          <w:ilvl w:val="0"/>
          <w:numId w:val="2"/>
        </w:numPr>
        <w:spacing w:after="60"/>
      </w:pPr>
      <w:r>
        <w:t xml:space="preserve">Règles de calendrier : date inexistante (29, 30, 31) déplacée au dernier jour du mois ou omise ; jours non ouvrés conservés, avancés ou reportés. Date théorique et date ajustée sont conservées.</w:t>
      </w:r>
    </w:p>
    <w:p>
      <w:pPr>
        <w:pStyle w:val="ListParagraph"/>
        <w:numPr>
          <w:ilvl w:val="0"/>
          <w:numId w:val="2"/>
        </w:numPr>
        <w:spacing w:after="60"/>
      </w:pPr>
      <w:r>
        <w:t xml:space="preserve">Une prévision garde sa devise ; l’équivalent dans la devise du compte est une estimation. Au paiement, le montant et la devise réellement débités font foi.</w:t>
      </w:r>
    </w:p>
    <w:p>
      <w:pPr>
        <w:pStyle w:val="Heading2"/>
      </w:pPr>
      <w:r>
        <w:t xml:space="preserve">6.10 Analyse</w:t>
      </w:r>
    </w:p>
    <w:p>
      <w:pPr>
        <w:pStyle w:val="ListParagraph"/>
        <w:numPr>
          <w:ilvl w:val="0"/>
          <w:numId w:val="2"/>
        </w:numPr>
        <w:spacing w:after="60"/>
      </w:pPr>
      <w:r>
        <w:t xml:space="preserve">Dépenses par catégorie et par qualification, catégories les plus coûteuses, plus forte hausse, dépassements récurrents.</w:t>
      </w:r>
    </w:p>
    <w:p>
      <w:pPr>
        <w:pStyle w:val="ListParagraph"/>
        <w:numPr>
          <w:ilvl w:val="0"/>
          <w:numId w:val="2"/>
        </w:numPr>
        <w:spacing w:after="60"/>
      </w:pPr>
      <w:r>
        <w:t xml:space="preserve">Petites dépenses cumulées et dépenses répétitives. Exemple : plusieurs dépenses de 1 à 2 $ représentant 72 $ sur un mois.</w:t>
      </w:r>
    </w:p>
    <w:p>
      <w:pPr>
        <w:pStyle w:val="ListParagraph"/>
        <w:numPr>
          <w:ilvl w:val="0"/>
          <w:numId w:val="2"/>
        </w:numPr>
        <w:spacing w:after="60"/>
      </w:pPr>
      <w:r>
        <w:t xml:space="preserve">Comparaison de deux périodes (période équivalente par défaut, modifiable) et variations.</w:t>
      </w:r>
    </w:p>
    <w:p>
      <w:pPr>
        <w:pStyle w:val="ListParagraph"/>
        <w:numPr>
          <w:ilvl w:val="0"/>
          <w:numId w:val="2"/>
        </w:numPr>
        <w:spacing w:after="60"/>
      </w:pPr>
      <w:r>
        <w:t xml:space="preserve">Distinction entre dépenses réelles, non planifiées et prévisionnelles ; une dépense non planifiée n’est pas automatiquement « inutile ».</w:t>
      </w:r>
    </w:p>
    <w:p>
      <w:pPr>
        <w:pStyle w:val="ListParagraph"/>
        <w:numPr>
          <w:ilvl w:val="0"/>
          <w:numId w:val="2"/>
        </w:numPr>
        <w:spacing w:after="60"/>
      </w:pPr>
      <w:r>
        <w:t xml:space="preserve">Analyses fondées sur des règles explicites et des statistiques ; pas d’apprentissage adaptatif.</w:t>
      </w:r>
    </w:p>
    <w:p>
      <w:pPr>
        <w:pStyle w:val="Heading2"/>
      </w:pPr>
      <w:r>
        <w:t xml:space="preserve">6.11 Alertes</w:t>
      </w:r>
    </w:p>
    <w:p>
      <w:pPr>
        <w:pStyle w:val="ListParagraph"/>
        <w:numPr>
          <w:ilvl w:val="0"/>
          <w:numId w:val="2"/>
        </w:numPr>
        <w:spacing w:after="60"/>
      </w:pPr>
      <w:r>
        <w:t xml:space="preserve">Seuil budgétaire (par exemple 80 %) et dépassement, seuils configurables.</w:t>
      </w:r>
    </w:p>
    <w:p>
      <w:pPr>
        <w:pStyle w:val="ListParagraph"/>
        <w:numPr>
          <w:ilvl w:val="0"/>
          <w:numId w:val="2"/>
        </w:numPr>
        <w:spacing w:after="60"/>
      </w:pPr>
      <w:r>
        <w:t xml:space="preserve">Alertes contextualisées, graduées, conçues pour limiter les répétitions ; les alertes importantes gardent un historique avec leur évolution et leur résolution.</w:t>
      </w:r>
    </w:p>
    <w:p>
      <w:pPr>
        <w:pStyle w:val="ListParagraph"/>
        <w:numPr>
          <w:ilvl w:val="0"/>
          <w:numId w:val="2"/>
        </w:numPr>
        <w:spacing w:after="60"/>
      </w:pPr>
      <w:r>
        <w:t xml:space="preserve">Notifications externes facultatives, hors première version.</w:t>
      </w:r>
    </w:p>
    <w:p>
      <w:pPr>
        <w:pStyle w:val="Heading2"/>
      </w:pPr>
      <w:r>
        <w:t xml:space="preserve">6.12 Rapports et export</w:t>
      </w:r>
    </w:p>
    <w:p>
      <w:pPr>
        <w:pStyle w:val="ListParagraph"/>
        <w:numPr>
          <w:ilvl w:val="0"/>
          <w:numId w:val="2"/>
        </w:numPr>
        <w:spacing w:after="60"/>
      </w:pPr>
      <w:r>
        <w:t xml:space="preserve">Bilan mensuel : revenus, dépenses, épargne, taux d’épargne, répartition par catégorie et par nature, budgets, dépassements, comparaison avec la période précédente.</w:t>
      </w:r>
    </w:p>
    <w:p>
      <w:pPr>
        <w:pStyle w:val="ListParagraph"/>
        <w:numPr>
          <w:ilvl w:val="0"/>
          <w:numId w:val="2"/>
        </w:numPr>
        <w:spacing w:after="60"/>
      </w:pPr>
      <w:r>
        <w:t xml:space="preserve">Synthèse annuelle.</w:t>
      </w:r>
    </w:p>
    <w:p>
      <w:pPr>
        <w:pStyle w:val="ListParagraph"/>
        <w:numPr>
          <w:ilvl w:val="0"/>
          <w:numId w:val="2"/>
        </w:numPr>
        <w:spacing w:after="60"/>
      </w:pPr>
      <w:r>
        <w:t xml:space="preserve">Export des transactions en CSV, prioritaire ; l’export est distinct de la sauvegarde technique. Excel et PDF sont des évolutions.</w:t>
      </w:r>
    </w:p>
    <w:p>
      <w:pPr>
        <w:pStyle w:val="Heading2"/>
      </w:pPr>
      <w:r>
        <w:t xml:space="preserve">6.13 Sauvegarde et restauration</w:t>
      </w:r>
    </w:p>
    <w:p>
      <w:pPr>
        <w:pStyle w:val="ListParagraph"/>
        <w:numPr>
          <w:ilvl w:val="0"/>
          <w:numId w:val="2"/>
        </w:numPr>
        <w:spacing w:after="60"/>
      </w:pPr>
      <w:r>
        <w:t xml:space="preserve">Sauvegarde manuelle et automatique selon une configuration simple.</w:t>
      </w:r>
    </w:p>
    <w:p>
      <w:pPr>
        <w:pStyle w:val="ListParagraph"/>
        <w:numPr>
          <w:ilvl w:val="0"/>
          <w:numId w:val="2"/>
        </w:numPr>
        <w:spacing w:after="60"/>
      </w:pPr>
      <w:r>
        <w:t xml:space="preserve">Restauration : choix d’une sauvegarde, confirmation, contrôle d’intégrité si possible, relations entre opérations préservées.</w:t>
      </w:r>
    </w:p>
    <w:p>
      <w:pPr>
        <w:pStyle w:val="ListParagraph"/>
        <w:numPr>
          <w:ilvl w:val="0"/>
          <w:numId w:val="2"/>
        </w:numPr>
        <w:spacing w:after="60"/>
      </w:pPr>
      <w:r>
        <w:t xml:space="preserve">Les actions destructrices exigent une confirmation.</w:t>
      </w:r>
    </w:p>
    <w:p>
      <w:pPr>
        <w:pStyle w:val="Heading2"/>
      </w:pPr>
      <w:r>
        <w:t xml:space="preserve">6.14 Paramètres</w:t>
      </w:r>
    </w:p>
    <w:p>
      <w:pPr>
        <w:pStyle w:val="ListParagraph"/>
        <w:numPr>
          <w:ilvl w:val="0"/>
          <w:numId w:val="2"/>
        </w:numPr>
        <w:spacing w:after="60"/>
      </w:pPr>
      <w:r>
        <w:t xml:space="preserve">Devise de référence, taux de change, catégories personnalisées.</w:t>
      </w:r>
    </w:p>
    <w:p>
      <w:pPr>
        <w:pStyle w:val="ListParagraph"/>
        <w:numPr>
          <w:ilvl w:val="0"/>
          <w:numId w:val="2"/>
        </w:numPr>
        <w:spacing w:after="60"/>
      </w:pPr>
      <w:r>
        <w:t xml:space="preserve">Seuils d’analyse et d’alerte, période par défaut du tableau de bord, règles de calendrier des récurrences.</w:t>
      </w:r>
    </w:p>
    <w:p>
      <w:pPr>
        <w:pStyle w:val="ListParagraph"/>
        <w:numPr>
          <w:ilvl w:val="0"/>
          <w:numId w:val="2"/>
        </w:numPr>
        <w:spacing w:after="60"/>
      </w:pPr>
      <w:r>
        <w:t xml:space="preserve">Tout changement de paramètre ayant un impact historique est historisé.</w:t>
      </w:r>
    </w:p>
    <w:p>
      <w:pPr>
        <w:pStyle w:val="Heading1"/>
      </w:pPr>
      <w:r>
        <w:t xml:space="preserve">7. Principes UX</w:t>
      </w:r>
    </w:p>
    <w:p>
      <w:pPr>
        <w:pStyle w:val="ListParagraph"/>
        <w:numPr>
          <w:ilvl w:val="0"/>
          <w:numId w:val="2"/>
        </w:numPr>
        <w:spacing w:after="60"/>
      </w:pPr>
      <w:r>
        <w:t xml:space="preserve">Enregistrer une dépense courante doit être extrêmement rapide, en un minimum d’actions.</w:t>
      </w:r>
    </w:p>
    <w:p>
      <w:pPr>
        <w:pStyle w:val="ListParagraph"/>
        <w:numPr>
          <w:ilvl w:val="0"/>
          <w:numId w:val="2"/>
        </w:numPr>
        <w:spacing w:after="60"/>
      </w:pPr>
      <w:r>
        <w:t xml:space="preserve">L’application aide à comprendre et à décider, sans culpabilisation et sans surcharge visuelle.</w:t>
      </w:r>
    </w:p>
    <w:p>
      <w:pPr>
        <w:pStyle w:val="ListParagraph"/>
        <w:numPr>
          <w:ilvl w:val="0"/>
          <w:numId w:val="2"/>
        </w:numPr>
        <w:spacing w:after="60"/>
      </w:pPr>
      <w:r>
        <w:t xml:space="preserve">Interface utilisable sur ordinateur, tablette et téléphone ; libellés explicites, contrastes suffisants, usage au clavier.</w:t>
      </w:r>
    </w:p>
    <w:p>
      <w:pPr>
        <w:pStyle w:val="ListParagraph"/>
        <w:numPr>
          <w:ilvl w:val="0"/>
          <w:numId w:val="2"/>
        </w:numPr>
        <w:spacing w:after="60"/>
      </w:pPr>
      <w:r>
        <w:t xml:space="preserve">Les formulaires valident les données avant enregistrement avec des messages d’erreur compréhensibles.</w:t>
      </w:r>
    </w:p>
    <w:p>
      <w:pPr>
        <w:pStyle w:val="Heading1"/>
      </w:pPr>
      <w:r>
        <w:t xml:space="preserve">8. Modèle de données (à affiner au MCD/MLD)</w:t>
      </w:r>
    </w:p>
    <w:p>
      <w:pPr>
        <w:spacing w:after="120"/>
      </w:pPr>
      <w:r>
        <w:t xml:space="preserve">Le modèle initial (users, accounts, categories, transactions, budgets, savings_goals, debts, settings) est insuffisant pour porter les règles V1.1. Le MCD devra représenter au minimum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Domaine</w:t>
            </w:r>
          </w:p>
        </w:tc>
        <w:tc>
          <w:tcPr>
            <w:tcW w:type="dxa" w:w="69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Entités à prévoir</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Comptes et devises</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accounts (type dont épargne, devise, statut), currencies, exchange_rates (historique avec motif)</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Opérations</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transactions (type, statut dont « À qualifier », qualification, devise, taux appliqué, annulation logique), transfers (liaison des deux côtés), fees</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Financement</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funding_allocations (dépense ↔ sources, montants affectés, historique des répartitions)</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Liens et audit</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transaction_links (liens causaux), audit_events (ancienne et nouvelle valeur, motif, cause), settings_history</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Épargne</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savings_goals (un compte d’épargne ↔ un objectif), contributions et retraits (via transferts)</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Dettes et créances</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debts (dettes et créances), debt_payments (remboursements liés aux entrées créées)</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Budgets</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budgets, budget_versions (périodes d’application), clôture</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Prévisions</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forecasts, recurrences (règles de calendrier, suspension), forecast_payments (paiements partiels)</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Catégories</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categories (revenu/dépense, actif/désactivé, par défaut/personnalisée)</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Alertes et divers</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alerts (historique, évolution, résolution), settings, backups</w:t>
            </w:r>
          </w:p>
        </w:tc>
      </w:tr>
    </w:tbl>
    <w:p>
      <w:pPr>
        <w:spacing w:after="120"/>
      </w:pPr>
    </w:p>
    <w:p>
      <w:pPr>
        <w:pBdr>
          <w:left w:val="single" w:color="1F3A5F" w:sz="18" w:space="8"/>
        </w:pBdr>
        <w:shd w:fill="F2F5F9" w:val="clear"/>
        <w:spacing w:after="160" w:before="120"/>
        <w:ind w:left="160"/>
      </w:pPr>
      <w:r>
        <w:t xml:space="preserve">Ces entités sont une liste de départ, pas un schéma final. Même si certaines fonctions arrivent dans des lots ultérieurs, le modèle doit prévoir dès le départ les devises, l’historisation et les liens causaux, sinon la base devra être refaite.</w:t>
      </w:r>
    </w:p>
    <w:p>
      <w:pPr>
        <w:pStyle w:val="Heading1"/>
      </w:pPr>
      <w:r>
        <w:t xml:space="preserve">9. Architecture technique</w:t>
      </w:r>
    </w:p>
    <w:p>
      <w:pPr>
        <w:spacing w:after="120"/>
      </w:pPr>
      <w:r>
        <w:rPr>
          <w:b/>
          <w:bCs/>
        </w:rPr>
        <w:t xml:space="preserve">Architecture :</w:t>
      </w:r>
      <w:r>
        <w:t xml:space="preserve"> React + Vite → API REST → FastAPI → couche services → couche repositories → SQLite.</w:t>
      </w:r>
    </w:p>
    <w:p>
      <w:pPr>
        <w:pStyle w:val="ListParagraph"/>
        <w:numPr>
          <w:ilvl w:val="0"/>
          <w:numId w:val="2"/>
        </w:numPr>
        <w:spacing w:after="60"/>
      </w:pPr>
      <w:r>
        <w:rPr>
          <w:b/>
          <w:bCs/>
        </w:rPr>
        <w:t xml:space="preserve">Frontend :</w:t>
      </w:r>
      <w:r>
        <w:t xml:space="preserve"> React, Vite, JavaScript, CSS.</w:t>
      </w:r>
    </w:p>
    <w:p>
      <w:pPr>
        <w:pStyle w:val="ListParagraph"/>
        <w:numPr>
          <w:ilvl w:val="0"/>
          <w:numId w:val="2"/>
        </w:numPr>
        <w:spacing w:after="60"/>
      </w:pPr>
      <w:r>
        <w:rPr>
          <w:b/>
          <w:bCs/>
        </w:rPr>
        <w:t xml:space="preserve">Backend :</w:t>
      </w:r>
      <w:r>
        <w:t xml:space="preserve"> Python, FastAPI, Pydantic, SQLAlchemy, SQLite.</w:t>
      </w:r>
    </w:p>
    <w:p>
      <w:pPr>
        <w:pStyle w:val="ListParagraph"/>
        <w:numPr>
          <w:ilvl w:val="0"/>
          <w:numId w:val="2"/>
        </w:numPr>
        <w:spacing w:after="60"/>
      </w:pPr>
      <w:r>
        <w:rPr>
          <w:b/>
          <w:bCs/>
        </w:rPr>
        <w:t xml:space="preserve">Communication :</w:t>
      </w:r>
      <w:r>
        <w:t xml:space="preserve"> API REST (GET, POST, PUT/PATCH, DELETE).</w:t>
      </w:r>
    </w:p>
    <w:p>
      <w:pPr>
        <w:pStyle w:val="ListParagraph"/>
        <w:numPr>
          <w:ilvl w:val="0"/>
          <w:numId w:val="2"/>
        </w:numPr>
        <w:spacing w:after="60"/>
      </w:pPr>
      <w:r>
        <w:rPr>
          <w:b/>
          <w:bCs/>
        </w:rPr>
        <w:t xml:space="preserve">Séparation des responsabilités :</w:t>
      </w:r>
      <w:r>
        <w:t xml:space="preserve"> les règles de calcul financier vivent dans la couche services, séparées de la présentation, afin d’être testées indépendamment.</w:t>
      </w:r>
    </w:p>
    <w:p>
      <w:pPr>
        <w:pStyle w:val="ListParagraph"/>
        <w:numPr>
          <w:ilvl w:val="0"/>
          <w:numId w:val="2"/>
        </w:numPr>
        <w:spacing w:after="60"/>
      </w:pPr>
      <w:r>
        <w:rPr>
          <w:b/>
          <w:bCs/>
        </w:rPr>
        <w:t xml:space="preserve">Transactions de base de données :</w:t>
      </w:r>
      <w:r>
        <w:t xml:space="preserve"> toute opération composée s’exécute dans une transaction SQLite unique.</w:t>
      </w:r>
    </w:p>
    <w:p>
      <w:pPr>
        <w:pStyle w:val="ListParagraph"/>
        <w:numPr>
          <w:ilvl w:val="0"/>
          <w:numId w:val="2"/>
        </w:numPr>
        <w:spacing w:after="60"/>
      </w:pPr>
      <w:r>
        <w:rPr>
          <w:b/>
          <w:bCs/>
        </w:rPr>
        <w:t xml:space="preserve">Usage local :</w:t>
      </w:r>
      <w:r>
        <w:t xml:space="preserve"> pas de synchronisation multi-appareils ; la version exécutable (dossier </w:t>
      </w:r>
      <w:r>
        <w:rPr>
          <w:rFonts w:ascii="Consolas" w:cs="Consolas" w:eastAsia="Consolas" w:hAnsi="Consolas"/>
          <w:sz w:val="20"/>
          <w:szCs w:val="20"/>
        </w:rPr>
        <w:t xml:space="preserve">exe</w:t>
      </w:r>
      <w:r>
        <w:t xml:space="preserve">) est une évolution future.</w:t>
      </w:r>
    </w:p>
    <w:p>
      <w:pPr>
        <w:pStyle w:val="ListParagraph"/>
        <w:numPr>
          <w:ilvl w:val="0"/>
          <w:numId w:val="2"/>
        </w:numPr>
        <w:spacing w:after="60"/>
      </w:pPr>
      <w:r>
        <w:rPr>
          <w:b/>
          <w:bCs/>
        </w:rPr>
        <w:t xml:space="preserve">Logs :</w:t>
      </w:r>
      <w:r>
        <w:t xml:space="preserve"> les journaux techniques et messages d’erreur n’exposent pas de données financières sensibles.</w:t>
      </w:r>
    </w:p>
    <w:p>
      <w:pPr>
        <w:pStyle w:val="ListParagraph"/>
        <w:numPr>
          <w:ilvl w:val="0"/>
          <w:numId w:val="2"/>
        </w:numPr>
        <w:spacing w:after="60"/>
      </w:pPr>
      <w:r>
        <w:rPr>
          <w:b/>
          <w:bCs/>
        </w:rPr>
        <w:t xml:space="preserve">Sécurité :</w:t>
      </w:r>
      <w:r>
        <w:t xml:space="preserve"> si une authentification est activée, les mots de passe ne sont jamais stockés en clair.</w:t>
      </w:r>
    </w:p>
    <w:p>
      <w:pPr>
        <w:pStyle w:val="Heading1"/>
      </w:pPr>
      <w:r>
        <w:t xml:space="preserve">10. Organisation du dépôt</w:t>
      </w:r>
    </w:p>
    <w:p>
      <w:pPr>
        <w:spacing w:after="120"/>
      </w:pPr>
      <w:r>
        <w:t xml:space="preserve">Arborescence réelle du dépôt FinTrack :</w:t>
      </w:r>
    </w:p>
    <w:p>
      <w:pPr>
        <w:shd w:fill="F2F5F9" w:val="clear"/>
        <w:spacing w:after="0"/>
      </w:pPr>
      <w:r>
        <w:rPr>
          <w:rFonts w:ascii="Consolas" w:cs="Consolas" w:eastAsia="Consolas" w:hAnsi="Consolas"/>
          <w:sz w:val="19"/>
          <w:szCs w:val="19"/>
        </w:rPr>
        <w:t xml:space="preserve">FinTrack/</w:t>
      </w:r>
    </w:p>
    <w:p>
      <w:pPr>
        <w:shd w:fill="F2F5F9" w:val="clear"/>
        <w:spacing w:after="0"/>
      </w:pPr>
      <w:r>
        <w:rPr>
          <w:rFonts w:ascii="Consolas" w:cs="Consolas" w:eastAsia="Consolas" w:hAnsi="Consolas"/>
          <w:sz w:val="19"/>
          <w:szCs w:val="19"/>
        </w:rPr>
        <w:t xml:space="preserve">├── README.md</w:t>
      </w:r>
    </w:p>
    <w:p>
      <w:pPr>
        <w:shd w:fill="F2F5F9" w:val="clear"/>
        <w:spacing w:after="0"/>
      </w:pPr>
      <w:r>
        <w:rPr>
          <w:rFonts w:ascii="Consolas" w:cs="Consolas" w:eastAsia="Consolas" w:hAnsi="Consolas"/>
          <w:sz w:val="19"/>
          <w:szCs w:val="19"/>
        </w:rPr>
        <w:t xml:space="preserve">├── exe/                        (version exécutable, évolution future)</w:t>
      </w:r>
    </w:p>
    <w:p>
      <w:pPr>
        <w:shd w:fill="F2F5F9" w:val="clear"/>
        <w:spacing w:after="0"/>
      </w:pPr>
      <w:r>
        <w:rPr>
          <w:rFonts w:ascii="Consolas" w:cs="Consolas" w:eastAsia="Consolas" w:hAnsi="Consolas"/>
          <w:sz w:val="19"/>
          <w:szCs w:val="19"/>
        </w:rPr>
        <w:t xml:space="preserve">└── Web/</w:t>
      </w:r>
    </w:p>
    <w:p>
      <w:pPr>
        <w:shd w:fill="F2F5F9" w:val="clear"/>
        <w:spacing w:after="0"/>
      </w:pPr>
      <w:r>
        <w:rPr>
          <w:rFonts w:ascii="Consolas" w:cs="Consolas" w:eastAsia="Consolas" w:hAnsi="Consolas"/>
          <w:sz w:val="19"/>
          <w:szCs w:val="19"/>
        </w:rPr>
        <w:t xml:space="preserve">    ├── Documentations/</w:t>
      </w:r>
    </w:p>
    <w:p>
      <w:pPr>
        <w:shd w:fill="F2F5F9" w:val="clear"/>
        <w:spacing w:after="0"/>
      </w:pPr>
      <w:r>
        <w:rPr>
          <w:rFonts w:ascii="Consolas" w:cs="Consolas" w:eastAsia="Consolas" w:hAnsi="Consolas"/>
          <w:sz w:val="19"/>
          <w:szCs w:val="19"/>
        </w:rPr>
        <w:t xml:space="preserve">    │   ├── suivie.md</w:t>
      </w:r>
    </w:p>
    <w:p>
      <w:pPr>
        <w:shd w:fill="F2F5F9" w:val="clear"/>
        <w:spacing w:after="0"/>
      </w:pPr>
      <w:r>
        <w:rPr>
          <w:rFonts w:ascii="Consolas" w:cs="Consolas" w:eastAsia="Consolas" w:hAnsi="Consolas"/>
          <w:sz w:val="19"/>
          <w:szCs w:val="19"/>
        </w:rPr>
        <w:t xml:space="preserve">    │   ├── 01_Cahier_des_charges/</w:t>
      </w:r>
    </w:p>
    <w:p>
      <w:pPr>
        <w:shd w:fill="F2F5F9" w:val="clear"/>
        <w:spacing w:after="0"/>
      </w:pPr>
      <w:r>
        <w:rPr>
          <w:rFonts w:ascii="Consolas" w:cs="Consolas" w:eastAsia="Consolas" w:hAnsi="Consolas"/>
          <w:sz w:val="19"/>
          <w:szCs w:val="19"/>
        </w:rPr>
        <w:t xml:space="preserve">    │   ├── 02_Specifications/</w:t>
      </w:r>
    </w:p>
    <w:p>
      <w:pPr>
        <w:shd w:fill="F2F5F9" w:val="clear"/>
        <w:spacing w:after="0"/>
      </w:pPr>
      <w:r>
        <w:rPr>
          <w:rFonts w:ascii="Consolas" w:cs="Consolas" w:eastAsia="Consolas" w:hAnsi="Consolas"/>
          <w:sz w:val="19"/>
          <w:szCs w:val="19"/>
        </w:rPr>
        <w:t xml:space="preserve">    │   │   ├── 1_Exigences_fonctionnelles/</w:t>
      </w:r>
    </w:p>
    <w:p>
      <w:pPr>
        <w:shd w:fill="F2F5F9" w:val="clear"/>
        <w:spacing w:after="0"/>
      </w:pPr>
      <w:r>
        <w:rPr>
          <w:rFonts w:ascii="Consolas" w:cs="Consolas" w:eastAsia="Consolas" w:hAnsi="Consolas"/>
          <w:sz w:val="19"/>
          <w:szCs w:val="19"/>
        </w:rPr>
        <w:t xml:space="preserve">    │   │   ├── 2_Regles_metier/</w:t>
      </w:r>
    </w:p>
    <w:p>
      <w:pPr>
        <w:shd w:fill="F2F5F9" w:val="clear"/>
        <w:spacing w:after="0"/>
      </w:pPr>
      <w:r>
        <w:rPr>
          <w:rFonts w:ascii="Consolas" w:cs="Consolas" w:eastAsia="Consolas" w:hAnsi="Consolas"/>
          <w:sz w:val="19"/>
          <w:szCs w:val="19"/>
        </w:rPr>
        <w:t xml:space="preserve">    │   │   ├── 3_Cas_utilisation/</w:t>
      </w:r>
    </w:p>
    <w:p>
      <w:pPr>
        <w:shd w:fill="F2F5F9" w:val="clear"/>
        <w:spacing w:after="0"/>
      </w:pPr>
      <w:r>
        <w:rPr>
          <w:rFonts w:ascii="Consolas" w:cs="Consolas" w:eastAsia="Consolas" w:hAnsi="Consolas"/>
          <w:sz w:val="19"/>
          <w:szCs w:val="19"/>
        </w:rPr>
        <w:t xml:space="preserve">    │   │   └── 4_Criteres_acceptation/</w:t>
      </w:r>
    </w:p>
    <w:p>
      <w:pPr>
        <w:shd w:fill="F2F5F9" w:val="clear"/>
        <w:spacing w:after="0"/>
      </w:pPr>
      <w:r>
        <w:rPr>
          <w:rFonts w:ascii="Consolas" w:cs="Consolas" w:eastAsia="Consolas" w:hAnsi="Consolas"/>
          <w:sz w:val="19"/>
          <w:szCs w:val="19"/>
        </w:rPr>
        <w:t xml:space="preserve">    │   ├── 03_Conception/</w:t>
      </w:r>
    </w:p>
    <w:p>
      <w:pPr>
        <w:shd w:fill="F2F5F9" w:val="clear"/>
        <w:spacing w:after="0"/>
      </w:pPr>
      <w:r>
        <w:rPr>
          <w:rFonts w:ascii="Consolas" w:cs="Consolas" w:eastAsia="Consolas" w:hAnsi="Consolas"/>
          <w:sz w:val="19"/>
          <w:szCs w:val="19"/>
        </w:rPr>
        <w:t xml:space="preserve">    │   │   ├── 1_MCD/  2_MLD/  3_Dictionnaire des données/  4_Architectures/</w:t>
      </w:r>
    </w:p>
    <w:p>
      <w:pPr>
        <w:shd w:fill="F2F5F9" w:val="clear"/>
        <w:spacing w:after="0"/>
      </w:pPr>
      <w:r>
        <w:rPr>
          <w:rFonts w:ascii="Consolas" w:cs="Consolas" w:eastAsia="Consolas" w:hAnsi="Consolas"/>
          <w:sz w:val="19"/>
          <w:szCs w:val="19"/>
        </w:rPr>
        <w:t xml:space="preserve">    │   ├── 04_API/specification des APIs/</w:t>
      </w:r>
    </w:p>
    <w:p>
      <w:pPr>
        <w:shd w:fill="F2F5F9" w:val="clear"/>
        <w:spacing w:after="0"/>
      </w:pPr>
      <w:r>
        <w:rPr>
          <w:rFonts w:ascii="Consolas" w:cs="Consolas" w:eastAsia="Consolas" w:hAnsi="Consolas"/>
          <w:sz w:val="19"/>
          <w:szCs w:val="19"/>
        </w:rPr>
        <w:t xml:space="preserve">    │   └── 05_UI_UX/  (1_WireFrame/  2_Figma/)</w:t>
      </w:r>
    </w:p>
    <w:p>
      <w:pPr>
        <w:shd w:fill="F2F5F9" w:val="clear"/>
        <w:spacing w:after="0"/>
      </w:pPr>
      <w:r>
        <w:rPr>
          <w:rFonts w:ascii="Consolas" w:cs="Consolas" w:eastAsia="Consolas" w:hAnsi="Consolas"/>
          <w:sz w:val="19"/>
          <w:szCs w:val="19"/>
        </w:rPr>
        <w:t xml:space="preserve">    └── code/</w:t>
      </w:r>
    </w:p>
    <w:p>
      <w:pPr>
        <w:shd w:fill="F2F5F9" w:val="clear"/>
        <w:spacing w:after="0"/>
      </w:pPr>
      <w:r>
        <w:rPr>
          <w:rFonts w:ascii="Consolas" w:cs="Consolas" w:eastAsia="Consolas" w:hAnsi="Consolas"/>
          <w:sz w:val="19"/>
          <w:szCs w:val="19"/>
        </w:rPr>
        <w:t xml:space="preserve">        ├── frontend/   (React + Vite : components, pages, layouts, hooks,</w:t>
      </w:r>
    </w:p>
    <w:p>
      <w:pPr>
        <w:shd w:fill="F2F5F9" w:val="clear"/>
        <w:spacing w:after="0"/>
      </w:pPr>
      <w:r>
        <w:rPr>
          <w:rFonts w:ascii="Consolas" w:cs="Consolas" w:eastAsia="Consolas" w:hAnsi="Consolas"/>
          <w:sz w:val="19"/>
          <w:szCs w:val="19"/>
        </w:rPr>
        <w:t xml:space="preserve">        │                services, utils, contexts)</w:t>
      </w:r>
    </w:p>
    <w:p>
      <w:pPr>
        <w:shd w:fill="F2F5F9" w:val="clear"/>
        <w:spacing w:after="0"/>
      </w:pPr>
      <w:r>
        <w:rPr>
          <w:rFonts w:ascii="Consolas" w:cs="Consolas" w:eastAsia="Consolas" w:hAnsi="Consolas"/>
          <w:sz w:val="19"/>
          <w:szCs w:val="19"/>
        </w:rPr>
        <w:t xml:space="preserve">        └── backend/    (app : main.py, api/routes, models, schemas, services,</w:t>
      </w:r>
    </w:p>
    <w:p>
      <w:pPr>
        <w:shd w:fill="F2F5F9" w:val="clear"/>
        <w:spacing w:after="0"/>
      </w:pPr>
      <w:r>
        <w:rPr>
          <w:rFonts w:ascii="Consolas" w:cs="Consolas" w:eastAsia="Consolas" w:hAnsi="Consolas"/>
          <w:sz w:val="19"/>
          <w:szCs w:val="19"/>
        </w:rPr>
        <w:t xml:space="preserve">                         repositories, database, core, utils ; tests ; requirements.txt)</w:t>
      </w:r>
    </w:p>
    <w:p>
      <w:pPr>
        <w:spacing w:after="120"/>
      </w:pPr>
    </w:p>
    <w:p>
      <w:pPr>
        <w:spacing w:after="120"/>
      </w:pPr>
      <w:r>
        <w:t xml:space="preserve">Les tests suivent le backend (</w:t>
      </w:r>
      <w:r>
        <w:rPr>
          <w:rFonts w:ascii="Consolas" w:cs="Consolas" w:eastAsia="Consolas" w:hAnsi="Consolas"/>
          <w:sz w:val="20"/>
          <w:szCs w:val="20"/>
        </w:rPr>
        <w:t xml:space="preserve">Web/code/backend/tests</w:t>
      </w:r>
      <w:r>
        <w:t xml:space="preserve">) et le frontend. Le fichier de base SQLite et les sauvegardes ne sont pas versionnés dans Git (à exclure par </w:t>
      </w:r>
      <w:r>
        <w:rPr>
          <w:rFonts w:ascii="Consolas" w:cs="Consolas" w:eastAsia="Consolas" w:hAnsi="Consolas"/>
          <w:sz w:val="20"/>
          <w:szCs w:val="20"/>
        </w:rPr>
        <w:t xml:space="preserve">.gitignore</w:t>
      </w:r>
      <w:r>
        <w:t xml:space="preserve">).</w:t>
      </w:r>
    </w:p>
    <w:p>
      <w:pPr>
        <w:pStyle w:val="Heading1"/>
      </w:pPr>
      <w:r>
        <w:t xml:space="preserve">11. API REST initiale (provisoire)</w:t>
      </w:r>
    </w:p>
    <w:p>
      <w:pPr>
        <w:spacing w:after="120"/>
      </w:pPr>
      <w:r>
        <w:t xml:space="preserve">Le détail sera fixé dans </w:t>
      </w:r>
      <w:r>
        <w:rPr>
          <w:rFonts w:ascii="Consolas" w:cs="Consolas" w:eastAsia="Consolas" w:hAnsi="Consolas"/>
          <w:sz w:val="20"/>
          <w:szCs w:val="20"/>
        </w:rPr>
        <w:t xml:space="preserve">04_API</w:t>
      </w:r>
      <w:r>
        <w:t xml:space="preserve">. Ressources prévues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Ressource</w:t>
            </w:r>
          </w:p>
        </w:tc>
        <w:tc>
          <w:tcPr>
            <w:tcW w:type="dxa" w:w="63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Opérations</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/api/transactions</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GET, POST, PUT/PATCH ; annulation (pas de suppression physique)</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/api/transfers</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POST atomique ; GET</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/api/accounts</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GET, POST, PUT ; désactivation</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/api/exchange-rates</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GET (historique), POST (nouveau taux avec motif)</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/api/categories</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GET, POST, PUT ; désactivation</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/api/budgets</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GET, POST, PUT ; clôture</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/api/savings-goals</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GET, POST, PUT ; contributions et retraits</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/api/debts</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GET, POST ; remboursements</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/api/forecasts</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GET, POST, PUT ; réalisation, report, suspension</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/api/dashboard</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GET (période en paramètre)</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/api/analysis, /api/alerts, /api/reports</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GET</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/api/backups, /api/export</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POST, GET ; restauration</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/api/settings</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GET, PUT (changements historisés)</w:t>
            </w:r>
          </w:p>
        </w:tc>
      </w:tr>
    </w:tbl>
    <w:p>
      <w:pPr>
        <w:pStyle w:val="Heading1"/>
      </w:pPr>
      <w:r>
        <w:t xml:space="preserve">12. Découpage en lots (MVP réévalué)</w:t>
      </w:r>
    </w:p>
    <w:p>
      <w:pPr>
        <w:spacing w:after="120"/>
      </w:pPr>
      <w:r>
        <w:t xml:space="preserve">L’ancien découpage en quatre versions ne tenait pas compte des décisions métier : devises, financement multiple, traçabilité et remboursements font partie du comportement central de FinTrack. Le découpage est donc revu en lots d’avancement. Le mot « V1 » des règles métier désigne la première version complète du produit, qui regroupe les lots 1 à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738"/>
      </w:tblGrid>
      <w:tr>
        <w:trPr>
          <w:cantSplit/>
          <w:tblHeader/>
        </w:trPr>
        <w:tc>
          <w:tcPr>
            <w:tcW w:type="dxa" w:w="9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50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Contenu</w:t>
            </w:r>
          </w:p>
        </w:tc>
        <w:tc>
          <w:tcPr>
            <w:tcW w:type="dxa" w:w="37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Remarque</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1</w:t>
            </w:r>
          </w:p>
        </w:tc>
        <w:tc>
          <w:tcPr>
            <w:tcW w:type="dxa" w:w="5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Comptes ; devises USD/CDF et taux historisé ; revenus ; dépenses avec sources de financement ; transferts ; catégories ; qualification ; annulation, historique et audit ; soldes ; recherche et filtres ; dashboard de base</w:t>
            </w:r>
          </w:p>
        </w:tc>
        <w:tc>
          <w:tcPr>
            <w:tcW w:type="dxa" w:w="3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Noyau indissociable : le modèle de données en dépend.</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2</w:t>
            </w:r>
          </w:p>
        </w:tc>
        <w:tc>
          <w:tcPr>
            <w:tcW w:type="dxa" w:w="5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Épargne (compte réel, objectifs, retraits) ; dettes et créances avec remboursements ; budgets ; alertes budgétaires</w:t>
            </w:r>
          </w:p>
        </w:tc>
        <w:tc>
          <w:tcPr>
            <w:tcW w:type="dxa" w:w="3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S’appuie sur les transferts et les entrées automatiques du lot 1.</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3</w:t>
            </w:r>
          </w:p>
        </w:tc>
        <w:tc>
          <w:tcPr>
            <w:tcW w:type="dxa" w:w="5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Remboursements de dépenses ; prévisions et récurrences ; doublons ; statut « À qualifier » ; analyses ; rapports ; graphiques</w:t>
            </w:r>
          </w:p>
        </w:tc>
        <w:tc>
          <w:tcPr>
            <w:tcW w:type="dxa" w:w="3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Les liens causaux sont prévus dès le lot 1.</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4</w:t>
            </w:r>
          </w:p>
        </w:tc>
        <w:tc>
          <w:tcPr>
            <w:tcW w:type="dxa" w:w="5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Sauvegarde et restauration ; export CSV ; authentification (facultative)</w:t>
            </w:r>
          </w:p>
        </w:tc>
        <w:tc>
          <w:tcPr>
            <w:tcW w:type="dxa" w:w="3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Clôt la première version complète.</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5</w:t>
            </w:r>
          </w:p>
        </w:tc>
        <w:tc>
          <w:tcPr>
            <w:tcW w:type="dxa" w:w="5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Export Excel et PDF ; alertes avancées ; notifications externes ; version exécutable</w:t>
            </w:r>
          </w:p>
        </w:tc>
        <w:tc>
          <w:tcPr>
            <w:tcW w:type="dxa" w:w="3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Évolutions, hors première version.</w:t>
            </w:r>
          </w:p>
        </w:tc>
      </w:tr>
    </w:tbl>
    <w:p>
      <w:pPr>
        <w:pStyle w:val="Heading1"/>
      </w:pPr>
      <w:r>
        <w:t xml:space="preserve">13. Critères de réussite</w:t>
      </w:r>
    </w:p>
    <w:p>
      <w:pPr>
        <w:spacing w:after="120"/>
      </w:pPr>
      <w:r>
        <w:t xml:space="preserve">L’application doit permettre de répondre à : Combien ai-je ? Où est mon argent ? Combien ai-je reçu et d’où vient-il ? Combien ai-je dépensé, et dans quoi ? Quelles dépenses étaient nécessaires, utiles, évitables ou impulsives ? Ai-je dépassé mes limites ? Combien ai-je épargné ? Combien dois-je et combien me doit-on ? Ma situation s’améliore-t-elle ou se dégrade-t-elle ?</w:t>
      </w:r>
    </w:p>
    <w:p>
      <w:pPr>
        <w:spacing w:after="120"/>
      </w:pPr>
      <w:r>
        <w:t xml:space="preserve">Critères techniques de validation :</w:t>
      </w:r>
    </w:p>
    <w:p>
      <w:pPr>
        <w:pStyle w:val="ListParagraph"/>
        <w:numPr>
          <w:ilvl w:val="0"/>
          <w:numId w:val="2"/>
        </w:numPr>
        <w:spacing w:after="60"/>
      </w:pPr>
      <w:r>
        <w:t xml:space="preserve">Un transfert ne gonfle jamais les dépenses ; un retrait d’épargne n’est pas un revenu ; une contribution d’épargne n’est pas une dépense de consommation.</w:t>
      </w:r>
    </w:p>
    <w:p>
      <w:pPr>
        <w:pStyle w:val="ListParagraph"/>
        <w:numPr>
          <w:ilvl w:val="0"/>
          <w:numId w:val="2"/>
        </w:numPr>
        <w:spacing w:after="60"/>
      </w:pPr>
      <w:r>
        <w:t xml:space="preserve">Une transaction annulée reste consultable et n’est plus comptée comme active.</w:t>
      </w:r>
    </w:p>
    <w:p>
      <w:pPr>
        <w:pStyle w:val="ListParagraph"/>
        <w:numPr>
          <w:ilvl w:val="0"/>
          <w:numId w:val="2"/>
        </w:numPr>
        <w:spacing w:after="60"/>
      </w:pPr>
      <w:r>
        <w:t xml:space="preserve">Les soldes restent cohérents après création, modification et annulation, et sont reproductibles à partir des données.</w:t>
      </w:r>
    </w:p>
    <w:p>
      <w:pPr>
        <w:pStyle w:val="ListParagraph"/>
        <w:numPr>
          <w:ilvl w:val="0"/>
          <w:numId w:val="2"/>
        </w:numPr>
        <w:spacing w:after="60"/>
      </w:pPr>
      <w:r>
        <w:t xml:space="preserve">Les conversions historiques restent interprétables après un changement de taux.</w:t>
      </w:r>
    </w:p>
    <w:p>
      <w:pPr>
        <w:pStyle w:val="ListParagraph"/>
        <w:numPr>
          <w:ilvl w:val="0"/>
          <w:numId w:val="2"/>
        </w:numPr>
        <w:spacing w:after="60"/>
      </w:pPr>
      <w:r>
        <w:t xml:space="preserve">Les données sont récupérables après sauvegarde et restauration.</w:t>
      </w:r>
    </w:p>
    <w:p>
      <w:pPr>
        <w:pStyle w:val="Heading1"/>
      </w:pPr>
      <w:r>
        <w:t xml:space="preserve">14. Points à traiter en conception</w:t>
      </w:r>
    </w:p>
    <w:p>
      <w:pPr>
        <w:pStyle w:val="ListParagraph"/>
        <w:numPr>
          <w:ilvl w:val="0"/>
          <w:numId w:val="2"/>
        </w:numPr>
        <w:spacing w:after="60"/>
      </w:pPr>
      <w:r>
        <w:t xml:space="preserve">Choix du modèle d’historisation : journal d’événements, tables versionnées, ou les deux.</w:t>
      </w:r>
    </w:p>
    <w:p>
      <w:pPr>
        <w:pStyle w:val="ListParagraph"/>
        <w:numPr>
          <w:ilvl w:val="0"/>
          <w:numId w:val="2"/>
        </w:numPr>
        <w:spacing w:after="60"/>
      </w:pPr>
      <w:r>
        <w:t xml:space="preserve">Représentation des liens causaux et des recalculs en cascade.</w:t>
      </w:r>
    </w:p>
    <w:p>
      <w:pPr>
        <w:pStyle w:val="ListParagraph"/>
        <w:numPr>
          <w:ilvl w:val="0"/>
          <w:numId w:val="2"/>
        </w:numPr>
        <w:spacing w:after="60"/>
      </w:pPr>
      <w:r>
        <w:t xml:space="preserve">Paramétrage des seuils (petites dépenses, doublons, alertes) et valeurs par défaut.</w:t>
      </w:r>
    </w:p>
    <w:p>
      <w:pPr>
        <w:pStyle w:val="ListParagraph"/>
        <w:numPr>
          <w:ilvl w:val="0"/>
          <w:numId w:val="2"/>
        </w:numPr>
        <w:spacing w:after="60"/>
      </w:pPr>
      <w:r>
        <w:t xml:space="preserve">Règles d’arrondi des conversions et choix de la devise de référence par défaut.</w:t>
      </w:r>
    </w:p>
    <w:p>
      <w:pPr>
        <w:pStyle w:val="ListParagraph"/>
        <w:numPr>
          <w:ilvl w:val="0"/>
          <w:numId w:val="2"/>
        </w:numPr>
        <w:spacing w:after="60"/>
      </w:pPr>
      <w:r>
        <w:t xml:space="preserve">Format de la sauvegarde et contrôle d’intégrité à la restauration.</w:t>
      </w:r>
    </w:p>
    <w:p>
      <w:pPr>
        <w:pStyle w:val="ListParagraph"/>
        <w:numPr>
          <w:ilvl w:val="0"/>
          <w:numId w:val="2"/>
        </w:numPr>
        <w:spacing w:after="60"/>
      </w:pPr>
      <w:r>
        <w:t xml:space="preserve">Authentification : nécessité réelle pour un usage local, prévue au lot 4 si retenue.</w:t>
      </w:r>
    </w:p>
    <w:p>
      <w:pPr>
        <w:pStyle w:val="ListParagraph"/>
        <w:numPr>
          <w:ilvl w:val="0"/>
          <w:numId w:val="2"/>
        </w:numPr>
        <w:spacing w:after="60"/>
      </w:pPr>
      <w:r>
        <w:t xml:space="preserve">Prochaine étape : cas d’utilisation structurés et diagramme UML en Mermaid.</w:t>
      </w:r>
    </w:p>
    <w:p>
      <w:pPr>
        <w:pStyle w:val="Heading1"/>
      </w:pPr>
      <w:r>
        <w:t xml:space="preserve">15. Principe directeur</w:t>
      </w:r>
    </w:p>
    <w:p>
      <w:pPr>
        <w:pBdr>
          <w:left w:val="single" w:color="1F3A5F" w:sz="18" w:space="8"/>
        </w:pBdr>
        <w:shd w:fill="F2F5F9" w:val="clear"/>
        <w:spacing w:after="160" w:before="120"/>
        <w:ind w:left="160"/>
      </w:pPr>
      <w:r>
        <w:rPr>
          <w:b/>
          <w:bCs/>
        </w:rPr>
        <w:t xml:space="preserve">« Aucun argent ne doit disparaître sans laisser de trace. »</w:t>
      </w:r>
      <w:r>
        <w:t xml:space="preserve">  Chaque variation financière doit être compréhensible, catégorisable et rattachable à une opération ou à une source identifiable. FinTrack transforme les mouvements financiers en informations compréhensibles, puis ces informations en décisions plus intelligentes.</w:t>
      </w:r>
    </w:p>
    <w:p>
      <w:r>
        <w:br w:type="page"/>
      </w:r>
    </w:p>
    <w:p>
      <w:pPr>
        <w:pStyle w:val="Heading1"/>
      </w:pPr>
      <w:r>
        <w:t xml:space="preserve">Annexe A — Correspondance modules et règles métier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Module</w:t>
            </w:r>
          </w:p>
        </w:tc>
        <w:tc>
          <w:tcPr>
            <w:tcW w:type="dxa" w:w="71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Règles métier concernées</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Comptes</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RB-CO-001 à 004 ; V1.1 §3</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Devises et taux</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RB-FX-001 à 008 ; RB-IN-004 ; V1.1 §7, §8</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Revenus</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RB-RE-001 à 005</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Dépenses et sources de financement</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RB-DE-001 à 006 ; RB-SF-001 à 007 ; V1.1 §5</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Transferts</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RB-TR-001 à 006</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Épargne</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RB-EP-001 à 008 ; V1.1 §11 (compte réel uniquement)</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Budgets</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RB-BU-001 à 007</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Dettes et créances</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RB-DC-001 à 008</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Catégories et qualification</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RB-CA-001 à 004 ; RB-QU-001 à 004</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Analyse, dashboard, alertes</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RB-AN-001 à 007 ; RB-AL-001 à 003 ; V1.1 §2</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Annulation, historique, audit</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RB-IN-001 à 006 ; V1.1 §3, §4</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Prévisions et récurrences</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§6, §7, §8</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Doublons ; opérations « À qualifier »</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§9, §10</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Sauvegarde et export</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§3</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FinTrack — Cahier des charges V2.1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FinTrack</dc:creator>
  <cp:lastModifiedBy>Un-named</cp:lastModifiedBy>
  <cp:revision>1</cp:revision>
  <dcterms:created xsi:type="dcterms:W3CDTF">2026-10-18T00:48:34.046Z</dcterms:created>
  <dcterms:modified xsi:type="dcterms:W3CDTF">2026-10-18T00:48:34.047Z</dcterms:modified>
</cp:coreProperties>
</file>

<file path=docProps/custom.xml><?xml version="1.0" encoding="utf-8"?>
<Properties xmlns="http://schemas.openxmlformats.org/officeDocument/2006/custom-properties" xmlns:vt="http://schemas.openxmlformats.org/officeDocument/2006/docPropsVTypes"/>
</file>