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44"/>
          <w:szCs w:val="44"/>
        </w:rPr>
        <w:t xml:space="preserve">FINTRACK</w:t>
      </w:r>
    </w:p>
    <w:p>
      <w:pPr>
        <w:spacing w:after="120"/>
        <w:jc w:val="center"/>
      </w:pPr>
      <w:r>
        <w:rPr>
          <w:b/>
          <w:bCs/>
          <w:sz w:val="30"/>
          <w:szCs w:val="30"/>
        </w:rPr>
        <w:t xml:space="preserve">Cas d’utilisation</w:t>
      </w:r>
    </w:p>
    <w:p>
      <w:pPr>
        <w:spacing w:after="120"/>
        <w:jc w:val="center"/>
      </w:pPr>
      <w:r>
        <w:rPr>
          <w:i/>
          <w:iCs/>
          <w:sz w:val="24"/>
          <w:szCs w:val="24"/>
        </w:rPr>
        <w:t xml:space="preserve">Version 1.1</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Version</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1.1</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Date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18 octobre 2026</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Statut</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Version de travail, à valider par le propriétaire du projet</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Documents de référence</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Cahier des charges V2.2 ; Exigences V2.3 ; Règles métier V1.2 consolidée</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Fichier du code Mermaid</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cas_utilisation.md (même dossier)</w:t>
            </w:r>
          </w:p>
        </w:tc>
      </w:tr>
    </w:tbl>
    <w:p>
      <w:pPr>
        <w:spacing w:after="120"/>
      </w:pP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638"/>
      </w:tblGrid>
      <w:tr>
        <w:trPr>
          <w:cantSplit/>
          <w:tblHeader/>
        </w:trPr>
        <w:tc>
          <w:tcPr>
            <w:tcW w:type="dxa" w:w="11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Version</w:t>
            </w:r>
          </w:p>
        </w:tc>
        <w:tc>
          <w:tcPr>
            <w:tcW w:type="dxa" w:w="1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Date</w:t>
            </w:r>
          </w:p>
        </w:tc>
        <w:tc>
          <w:tcPr>
            <w:tcW w:type="dxa" w:w="6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Évolution</w:t>
            </w:r>
          </w:p>
        </w:tc>
      </w:tr>
      <w:tr>
        <w:trPr>
          <w:cantSplit/>
        </w:trPr>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1.0</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18 octobre 2026</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Première rédaction : 61 cas, 13 diagrammes, 19 fiches, couverture des exigences V2.2.</w:t>
            </w:r>
          </w:p>
        </w:tc>
      </w:tr>
      <w:tr>
        <w:trPr>
          <w:cantSplit/>
        </w:trPr>
        <w:tc>
          <w:tcPr>
            <w:tcW w:type="dxa" w:w="1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1.1</w:t>
            </w:r>
          </w:p>
        </w:tc>
        <w:tc>
          <w:tcPr>
            <w:tcW w:type="dxa" w:w="1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18 octobre 2026</w:t>
            </w:r>
          </w:p>
        </w:tc>
        <w:tc>
          <w:tcPr>
            <w:tcW w:type="dxa" w:w="6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Authentification ajoutée (4 cas, exigences EF-AU) ; taux de change fixé par l’utilisateur et historisé dès l’initialisation ; règles de remboursement excédentaire, de devises différentes et de doublons ; points relevés mis à jour.</w:t>
            </w:r>
          </w:p>
        </w:tc>
      </w:tr>
    </w:tbl>
    <w:p>
      <w:pPr>
        <w:spacing w:after="120"/>
      </w:pPr>
    </w:p>
    <w:p>
      <w:pPr>
        <w:pStyle w:val="Heading1"/>
      </w:pPr>
      <w:r>
        <w:t xml:space="preserve">1. Objet et méthode</w:t>
      </w:r>
    </w:p>
    <w:p>
      <w:pPr>
        <w:spacing w:after="120"/>
      </w:pPr>
      <w:r>
        <w:t xml:space="preserve">Ce document décrit, du point de vue de l’utilisateur, ce que FinTrack doit permettre de faire. Il contient 64 cas d’utilisation répartis en 12 modules, un diagramme par module, les fiches détaillées des 22 cas les plus structurants, et la preuve que chaque exigence fonctionnelle de la V2.2 est couverte.</w:t>
      </w:r>
    </w:p>
    <w:p>
      <w:pPr>
        <w:pStyle w:val="ListParagraph"/>
        <w:numPr>
          <w:ilvl w:val="0"/>
          <w:numId w:val="2"/>
        </w:numPr>
        <w:spacing w:after="60"/>
      </w:pPr>
      <w:r>
        <w:t xml:space="preserve">Chaque cas porte un identifiant </w:t>
      </w:r>
      <w:r>
        <w:rPr>
          <w:b/>
          <w:bCs/>
        </w:rPr>
        <w:t xml:space="preserve">UC-nnn</w:t>
      </w:r>
      <w:r>
        <w:t xml:space="preserve">, un lot (1 à 5, comme dans le cahier des charges) et la liste des exigences qu’il réalise.</w:t>
      </w:r>
    </w:p>
    <w:p>
      <w:pPr>
        <w:pStyle w:val="ListParagraph"/>
        <w:numPr>
          <w:ilvl w:val="0"/>
          <w:numId w:val="2"/>
        </w:numPr>
        <w:spacing w:after="60"/>
      </w:pPr>
      <w:r>
        <w:t xml:space="preserve">Un cas </w:t>
      </w:r>
      <w:r>
        <w:rPr>
          <w:b/>
          <w:bCs/>
        </w:rPr>
        <w:t xml:space="preserve">inclus</w:t>
      </w:r>
      <w:r>
        <w:t xml:space="preserve"> est toujours exécuté par le cas qui l’inclut (par exemple « Contrôler les fonds » dans « Enregistrer une dépense »). Un cas qui </w:t>
      </w:r>
      <w:r>
        <w:rPr>
          <w:b/>
          <w:bCs/>
        </w:rPr>
        <w:t xml:space="preserve">étend</w:t>
      </w:r>
      <w:r>
        <w:t xml:space="preserve"> un autre ne s’exécute que dans une condition précise (par exemple la conversion de devise).</w:t>
      </w:r>
    </w:p>
    <w:p>
      <w:pPr>
        <w:pStyle w:val="ListParagraph"/>
        <w:numPr>
          <w:ilvl w:val="0"/>
          <w:numId w:val="2"/>
        </w:numPr>
        <w:spacing w:after="60"/>
      </w:pPr>
      <w:r>
        <w:t xml:space="preserve">Les diagrammes sont écrits en Mermaid (fichier </w:t>
      </w:r>
      <w:r>
        <w:rPr>
          <w:rFonts w:ascii="Consolas" w:cs="Consolas" w:eastAsia="Consolas" w:hAnsi="Consolas"/>
          <w:sz w:val="20"/>
          <w:szCs w:val="20"/>
        </w:rPr>
        <w:t xml:space="preserve">cas_utilisation.md</w:t>
      </w:r>
      <w:r>
        <w:t xml:space="preserve">). Mermaid n’ayant pas de diagramme UML de cas d’utilisation, un </w:t>
      </w:r>
      <w:r>
        <w:rPr>
          <w:rFonts w:ascii="Consolas" w:cs="Consolas" w:eastAsia="Consolas" w:hAnsi="Consolas"/>
          <w:sz w:val="20"/>
          <w:szCs w:val="20"/>
        </w:rPr>
        <w:t xml:space="preserve">flowchart</w:t>
      </w:r>
      <w:r>
        <w:t xml:space="preserve"> en reprend les conventions.</w:t>
      </w:r>
    </w:p>
    <w:p>
      <w:pPr>
        <w:pStyle w:val="ListParagraph"/>
        <w:numPr>
          <w:ilvl w:val="0"/>
          <w:numId w:val="2"/>
        </w:numPr>
        <w:spacing w:after="60"/>
      </w:pPr>
      <w:r>
        <w:t xml:space="preserve">Les points que les règles métier ne tranchent pas sont listés en section 8 (P-01 à P-11) ; les fiches y renvoient.</w:t>
      </w:r>
    </w:p>
    <w:p>
      <w:pPr>
        <w:pStyle w:val="Heading1"/>
      </w:pPr>
      <w:r>
        <w:t xml:space="preserve">2. Acteurs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70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Rôle</w:t>
            </w:r>
          </w:p>
        </w:tc>
      </w:tr>
      <w:tr>
        <w:trPr>
          <w:cantSplit/>
        </w:trPr>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Utilisateur</w:t>
            </w:r>
          </w:p>
        </w:tc>
        <w:tc>
          <w:tcPr>
            <w:tcW w:type="dxa" w:w="7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Seul acteur humain : propriétaire des données, il saisit, corrige, consulte, configure, sauvegarde et exporte. FinTrack est une application personnelle à usage local.</w:t>
            </w:r>
          </w:p>
        </w:tc>
      </w:tr>
      <w:tr>
        <w:trPr>
          <w:cantSplit/>
        </w:trPr>
        <w:tc>
          <w:tcPr>
            <w:tcW w:type="dxa" w:w="2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Planificateur système</w:t>
            </w:r>
          </w:p>
        </w:tc>
        <w:tc>
          <w:tcPr>
            <w:tcW w:type="dxa" w:w="7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Acteur technique qui déclenche les traitements sans action de l’utilisateur : clôture des budgets, évaluation des alertes, génération des occurrences récurrentes, sauvegarde automatique.</w:t>
            </w:r>
          </w:p>
        </w:tc>
      </w:tr>
    </w:tbl>
    <w:p>
      <w:pPr>
        <w:spacing w:after="120"/>
      </w:pPr>
    </w:p>
    <w:p>
      <w:pPr>
        <w:pBdr>
          <w:left w:val="single" w:color="1F3A5F" w:sz="18" w:space="8"/>
        </w:pBdr>
        <w:shd w:fill="F2F5F9" w:val="clear"/>
        <w:spacing w:after="160" w:before="120"/>
        <w:ind w:left="160"/>
      </w:pPr>
      <w:r>
        <w:t xml:space="preserve">Les tiers (débiteur, créancier, donateur) ne sont pas des acteurs : ils n’interagissent pas avec le système, leurs opérations sont saisies par l’utilisateur.</w:t>
      </w:r>
    </w:p>
    <w:p>
      <w:pPr>
        <w:pStyle w:val="Heading1"/>
      </w:pPr>
      <w:r>
        <w:t xml:space="preserve">3. Vue d’ensemble</w:t>
      </w:r>
    </w:p>
    <w:p>
      <w:pPr>
        <w:spacing w:after="160"/>
        <w:jc w:val="center"/>
      </w:pPr>
      <w:r>
        <w:drawing>
          <wp:inline distT="0" distB="0" distL="0" distR="0">
            <wp:extent cx="2876550" cy="8191500"/>
            <wp:effectExtent t="0" r="0" b="0" l="0"/>
            <wp:docPr id="1" name="overview" descr="Diagramme de cas d’utilisation"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76550" cy="81915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cantSplit/>
          <w:tblHeader/>
        </w:trPr>
        <w:tc>
          <w:tcPr>
            <w:tcW w:type="dxa" w:w="30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Module</w:t>
            </w:r>
          </w:p>
        </w:tc>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w:t>
            </w:r>
          </w:p>
        </w:tc>
        <w:tc>
          <w:tcPr>
            <w:tcW w:type="dxa" w:w="57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Lots</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Comptes et devises</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8</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Catégories et qualification</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Saisie des opérations</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9</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1, 3</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Historique et corrections</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7</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Tableau de bord</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 3, 1</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Épargne</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5</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Dettes et créances</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Budgets</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Alertes et paramètres</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 2 → 3, 5</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Prévisions et récurrences</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Analyses et rapports</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5</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2, 3</w:t>
            </w:r>
          </w:p>
        </w:tc>
      </w:tr>
      <w:tr>
        <w:trPr>
          <w:cantSplit/>
        </w:trPr>
        <w:tc>
          <w:tcPr>
            <w:tcW w:type="dxa" w:w="30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Sauvegarde, export et accès</w:t>
            </w:r>
          </w:p>
        </w:tc>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9</w:t>
            </w:r>
          </w:p>
        </w:tc>
        <w:tc>
          <w:tcPr>
            <w:tcW w:type="dxa" w:w="5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4, 5</w:t>
            </w:r>
          </w:p>
        </w:tc>
      </w:tr>
    </w:tbl>
    <w:p>
      <w:pPr>
        <w:pStyle w:val="Heading1"/>
      </w:pPr>
      <w:r>
        <w:t xml:space="preserve">4. Diagrammes par module</w:t>
      </w:r>
    </w:p>
    <w:p>
      <w:pPr>
        <w:pStyle w:val="Heading2"/>
      </w:pPr>
      <w:r>
        <w:t xml:space="preserve">4.1 Comptes et devises</w:t>
      </w:r>
    </w:p>
    <w:p>
      <w:pPr>
        <w:spacing w:after="160"/>
        <w:jc w:val="center"/>
      </w:pPr>
      <w:r>
        <w:drawing>
          <wp:inline distT="0" distB="0" distL="0" distR="0">
            <wp:extent cx="3457575" cy="8191500"/>
            <wp:effectExtent t="0" r="0" b="0" l="0"/>
            <wp:docPr id="1" name="CO" descr="Diagramme de cas d’utilisation" titl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57575" cy="8191500"/>
                    </a:xfrm>
                    <a:prstGeom prst="rect">
                      <a:avLst/>
                    </a:prstGeom>
                  </pic:spPr>
                </pic:pic>
              </a:graphicData>
            </a:graphic>
          </wp:inline>
        </w:drawing>
      </w:r>
    </w:p>
    <w:p>
      <w:pPr>
        <w:pStyle w:val="Heading2"/>
      </w:pPr>
      <w:r>
        <w:t xml:space="preserve">4.2 Catégories et qualification</w:t>
      </w:r>
    </w:p>
    <w:p>
      <w:pPr>
        <w:spacing w:after="160"/>
        <w:jc w:val="center"/>
      </w:pPr>
      <w:r>
        <w:drawing>
          <wp:inline distT="0" distB="0" distL="0" distR="0">
            <wp:extent cx="6115050" cy="5810250"/>
            <wp:effectExtent t="0" r="0" b="0" l="0"/>
            <wp:docPr id="1" name="CA" descr="Diagramme de cas d’utilisation" titl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5810250"/>
                    </a:xfrm>
                    <a:prstGeom prst="rect">
                      <a:avLst/>
                    </a:prstGeom>
                  </pic:spPr>
                </pic:pic>
              </a:graphicData>
            </a:graphic>
          </wp:inline>
        </w:drawing>
      </w:r>
    </w:p>
    <w:p>
      <w:pPr>
        <w:pStyle w:val="Heading2"/>
      </w:pPr>
      <w:r>
        <w:t xml:space="preserve">4.3 Saisie des opérations</w:t>
      </w:r>
    </w:p>
    <w:p>
      <w:pPr>
        <w:spacing w:after="160"/>
        <w:jc w:val="center"/>
      </w:pPr>
      <w:r>
        <w:drawing>
          <wp:inline distT="0" distB="0" distL="0" distR="0">
            <wp:extent cx="6115050" cy="7715250"/>
            <wp:effectExtent t="0" r="0" b="0" l="0"/>
            <wp:docPr id="1" name="TR" descr="Diagramme de cas d’utilisation" title="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7715250"/>
                    </a:xfrm>
                    <a:prstGeom prst="rect">
                      <a:avLst/>
                    </a:prstGeom>
                  </pic:spPr>
                </pic:pic>
              </a:graphicData>
            </a:graphic>
          </wp:inline>
        </w:drawing>
      </w:r>
    </w:p>
    <w:p>
      <w:pPr>
        <w:pStyle w:val="Heading2"/>
      </w:pPr>
      <w:r>
        <w:t xml:space="preserve">4.4 Historique et corrections</w:t>
      </w:r>
    </w:p>
    <w:p>
      <w:pPr>
        <w:spacing w:after="160"/>
        <w:jc w:val="center"/>
      </w:pPr>
      <w:r>
        <w:drawing>
          <wp:inline distT="0" distB="0" distL="0" distR="0">
            <wp:extent cx="5953125" cy="8191500"/>
            <wp:effectExtent t="0" r="0" b="0" l="0"/>
            <wp:docPr id="1" name="HC" descr="Diagramme de cas d’utilisation" title="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53125" cy="8191500"/>
                    </a:xfrm>
                    <a:prstGeom prst="rect">
                      <a:avLst/>
                    </a:prstGeom>
                  </pic:spPr>
                </pic:pic>
              </a:graphicData>
            </a:graphic>
          </wp:inline>
        </w:drawing>
      </w:r>
    </w:p>
    <w:p>
      <w:pPr>
        <w:pStyle w:val="Heading2"/>
      </w:pPr>
      <w:r>
        <w:t xml:space="preserve">4.5 Tableau de bord</w:t>
      </w:r>
    </w:p>
    <w:p>
      <w:pPr>
        <w:spacing w:after="160"/>
        <w:jc w:val="center"/>
      </w:pPr>
      <w:r>
        <w:drawing>
          <wp:inline distT="0" distB="0" distL="0" distR="0">
            <wp:extent cx="5343525" cy="3695700"/>
            <wp:effectExtent t="0" r="0" b="0" l="0"/>
            <wp:docPr id="1" name="DB" descr="Diagramme de cas d’utilisation" titl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43525" cy="3695700"/>
                    </a:xfrm>
                    <a:prstGeom prst="rect">
                      <a:avLst/>
                    </a:prstGeom>
                  </pic:spPr>
                </pic:pic>
              </a:graphicData>
            </a:graphic>
          </wp:inline>
        </w:drawing>
      </w:r>
    </w:p>
    <w:p>
      <w:pPr>
        <w:pStyle w:val="Heading2"/>
      </w:pPr>
      <w:r>
        <w:t xml:space="preserve">4.6 Épargne</w:t>
      </w:r>
    </w:p>
    <w:p>
      <w:pPr>
        <w:spacing w:after="160"/>
        <w:jc w:val="center"/>
      </w:pPr>
      <w:r>
        <w:drawing>
          <wp:inline distT="0" distB="0" distL="0" distR="0">
            <wp:extent cx="6115050" cy="4772025"/>
            <wp:effectExtent t="0" r="0" b="0" l="0"/>
            <wp:docPr id="1" name="EP" descr="Diagramme de cas d’utilisation" titl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4772025"/>
                    </a:xfrm>
                    <a:prstGeom prst="rect">
                      <a:avLst/>
                    </a:prstGeom>
                  </pic:spPr>
                </pic:pic>
              </a:graphicData>
            </a:graphic>
          </wp:inline>
        </w:drawing>
      </w:r>
    </w:p>
    <w:p>
      <w:pPr>
        <w:pStyle w:val="Heading2"/>
      </w:pPr>
      <w:r>
        <w:t xml:space="preserve">4.7 Dettes et créances</w:t>
      </w:r>
    </w:p>
    <w:p>
      <w:pPr>
        <w:spacing w:after="160"/>
        <w:jc w:val="center"/>
      </w:pPr>
      <w:r>
        <w:drawing>
          <wp:inline distT="0" distB="0" distL="0" distR="0">
            <wp:extent cx="6115050" cy="6877050"/>
            <wp:effectExtent t="0" r="0" b="0" l="0"/>
            <wp:docPr id="1" name="DE" descr="Diagramme de cas d’utilisation" titl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6877050"/>
                    </a:xfrm>
                    <a:prstGeom prst="rect">
                      <a:avLst/>
                    </a:prstGeom>
                  </pic:spPr>
                </pic:pic>
              </a:graphicData>
            </a:graphic>
          </wp:inline>
        </w:drawing>
      </w:r>
    </w:p>
    <w:p>
      <w:pPr>
        <w:pStyle w:val="Heading2"/>
      </w:pPr>
      <w:r>
        <w:t xml:space="preserve">4.8 Budgets</w:t>
      </w:r>
    </w:p>
    <w:p>
      <w:pPr>
        <w:spacing w:after="160"/>
        <w:jc w:val="center"/>
      </w:pPr>
      <w:r>
        <w:drawing>
          <wp:inline distT="0" distB="0" distL="0" distR="0">
            <wp:extent cx="6115050" cy="6305550"/>
            <wp:effectExtent t="0" r="0" b="0" l="0"/>
            <wp:docPr id="1" name="BU" descr="Diagramme de cas d’utilisation" title="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6305550"/>
                    </a:xfrm>
                    <a:prstGeom prst="rect">
                      <a:avLst/>
                    </a:prstGeom>
                  </pic:spPr>
                </pic:pic>
              </a:graphicData>
            </a:graphic>
          </wp:inline>
        </w:drawing>
      </w:r>
    </w:p>
    <w:p>
      <w:pPr>
        <w:pStyle w:val="Heading2"/>
      </w:pPr>
      <w:r>
        <w:t xml:space="preserve">4.9 Alertes et paramètres</w:t>
      </w:r>
    </w:p>
    <w:p>
      <w:pPr>
        <w:spacing w:after="160"/>
        <w:jc w:val="center"/>
      </w:pPr>
      <w:r>
        <w:drawing>
          <wp:inline distT="0" distB="0" distL="0" distR="0">
            <wp:extent cx="6115050" cy="6753225"/>
            <wp:effectExtent t="0" r="0" b="0" l="0"/>
            <wp:docPr id="1" name="AL" descr="Diagramme de cas d’utilisation" titl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6753225"/>
                    </a:xfrm>
                    <a:prstGeom prst="rect">
                      <a:avLst/>
                    </a:prstGeom>
                  </pic:spPr>
                </pic:pic>
              </a:graphicData>
            </a:graphic>
          </wp:inline>
        </w:drawing>
      </w:r>
    </w:p>
    <w:p>
      <w:pPr>
        <w:pStyle w:val="Heading2"/>
      </w:pPr>
      <w:r>
        <w:t xml:space="preserve">4.10 Prévisions et récurrences</w:t>
      </w:r>
    </w:p>
    <w:p>
      <w:pPr>
        <w:spacing w:after="160"/>
        <w:jc w:val="center"/>
      </w:pPr>
      <w:r>
        <w:drawing>
          <wp:inline distT="0" distB="0" distL="0" distR="0">
            <wp:extent cx="6115050" cy="4029075"/>
            <wp:effectExtent t="0" r="0" b="0" l="0"/>
            <wp:docPr id="1" name="PV" descr="Diagramme de cas d’utilisation" title="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4029075"/>
                    </a:xfrm>
                    <a:prstGeom prst="rect">
                      <a:avLst/>
                    </a:prstGeom>
                  </pic:spPr>
                </pic:pic>
              </a:graphicData>
            </a:graphic>
          </wp:inline>
        </w:drawing>
      </w:r>
    </w:p>
    <w:p>
      <w:pPr>
        <w:pStyle w:val="Heading2"/>
      </w:pPr>
      <w:r>
        <w:t xml:space="preserve">4.11 Analyses et rapports</w:t>
      </w:r>
    </w:p>
    <w:p>
      <w:pPr>
        <w:spacing w:after="160"/>
        <w:jc w:val="center"/>
      </w:pPr>
      <w:r>
        <w:drawing>
          <wp:inline distT="0" distB="0" distL="0" distR="0">
            <wp:extent cx="5334000" cy="8191500"/>
            <wp:effectExtent t="0" r="0" b="0" l="0"/>
            <wp:docPr id="1" name="AN" descr="Diagramme de cas d’utilisation" tit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8191500"/>
                    </a:xfrm>
                    <a:prstGeom prst="rect">
                      <a:avLst/>
                    </a:prstGeom>
                  </pic:spPr>
                </pic:pic>
              </a:graphicData>
            </a:graphic>
          </wp:inline>
        </w:drawing>
      </w:r>
    </w:p>
    <w:p>
      <w:pPr>
        <w:pStyle w:val="Heading2"/>
      </w:pPr>
      <w:r>
        <w:t xml:space="preserve">4.12 Sauvegarde, export et accès</w:t>
      </w:r>
    </w:p>
    <w:p>
      <w:pPr>
        <w:spacing w:after="160"/>
        <w:jc w:val="center"/>
      </w:pPr>
      <w:r>
        <w:drawing>
          <wp:inline distT="0" distB="0" distL="0" distR="0">
            <wp:extent cx="5981700" cy="8191500"/>
            <wp:effectExtent t="0" r="0" b="0" l="0"/>
            <wp:docPr id="1" name="SA" descr="Diagramme de cas d’utilisation" titl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81700" cy="8191500"/>
                    </a:xfrm>
                    <a:prstGeom prst="rect">
                      <a:avLst/>
                    </a:prstGeom>
                  </pic:spPr>
                </pic:pic>
              </a:graphicData>
            </a:graphic>
          </wp:inline>
        </w:drawing>
      </w:r>
    </w:p>
    <w:p>
      <w:pPr>
        <w:pStyle w:val="Heading1"/>
      </w:pPr>
      <w:r>
        <w:t xml:space="preserve">5. Catalogue des cas d’utilisation</w:t>
      </w:r>
    </w:p>
    <w:p>
      <w:pPr>
        <w:pStyle w:val="Heading2"/>
      </w:pPr>
      <w:r>
        <w:t xml:space="preserve">5.1 Comptes et devises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UC-001</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Créer un compte</w:t>
            </w:r>
          </w:p>
          <w:p>
            <w:pPr>
              <w:spacing w:after="40"/>
            </w:pPr>
            <w:r>
              <w:rPr>
                <w:sz w:val="20"/>
                <w:szCs w:val="20"/>
              </w:rPr>
              <w:t xml:space="preserve">Définir nom, type, devise et solde initial (nul si le compte est créé vide).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EF-CO-001, EF-FX-003</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UC-002</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Consulter les comptes et les soldes</w:t>
            </w:r>
          </w:p>
          <w:p>
            <w:pPr>
              <w:spacing w:after="40"/>
            </w:pPr>
            <w:r>
              <w:rPr>
                <w:sz w:val="20"/>
                <w:szCs w:val="20"/>
              </w:rPr>
              <w:t xml:space="preserve">Voir les comptes actifs, leurs soldes par devise, et la séparation disponible / épargne / patrimoine.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EF-CO-002, EF-CO-003, EF-CPT-004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UC-003</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Modifier un compte</w:t>
            </w:r>
          </w:p>
          <w:p>
            <w:pPr>
              <w:spacing w:after="40"/>
            </w:pPr>
            <w:r>
              <w:rPr>
                <w:sz w:val="20"/>
                <w:szCs w:val="20"/>
              </w:rPr>
              <w:t xml:space="preserve">Changer le nom ou le type ; le solde ne se modifie jamais directement.</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EF-CO-004, EF-CPT-002</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UC-004</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Désactiver un compte</w:t>
            </w:r>
          </w:p>
          <w:p>
            <w:pPr>
              <w:spacing w:after="40"/>
            </w:pPr>
            <w:r>
              <w:rPr>
                <w:sz w:val="20"/>
                <w:szCs w:val="20"/>
              </w:rPr>
              <w:t xml:space="preserve">Empêcher les nouvelles opérations en gardant l’historique.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EF-CO-005</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UC-005</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Définir la devise de référence</w:t>
            </w:r>
          </w:p>
          <w:p>
            <w:pPr>
              <w:spacing w:after="40"/>
            </w:pPr>
            <w:r>
              <w:rPr>
                <w:sz w:val="20"/>
                <w:szCs w:val="20"/>
              </w:rPr>
              <w:t xml:space="preserve">Choisir la devise dans laquelle les totaux convertis sont exprimés.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EF-FX-002</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UC-006</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Définir ou modifier le taux de change USD/CDF</w:t>
            </w:r>
          </w:p>
          <w:p>
            <w:pPr>
              <w:spacing w:after="40"/>
            </w:pPr>
            <w:r>
              <w:rPr>
                <w:sz w:val="20"/>
                <w:szCs w:val="20"/>
              </w:rPr>
              <w:t xml:space="preserve">Initialiser puis modifier le taux fixé par l’utilisateur ; chaque fixation est historisée et le passé n’est pas recalculé.</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EF-FX-001, EF-FX-004, EF-FX-005, EF-FX-010, EF-FX-013</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UC-007</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Consulter l’historique des taux</w:t>
            </w:r>
          </w:p>
          <w:p>
            <w:pPr>
              <w:spacing w:after="40"/>
            </w:pPr>
            <w:r>
              <w:rPr>
                <w:sz w:val="20"/>
                <w:szCs w:val="20"/>
              </w:rPr>
              <w:t xml:space="preserve">Lister les taux successifs avec date, ancienne valeur, nouvelle valeur et motif.</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EF-FX-006</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UC-008</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Convertir un montant (inclus)</w:t>
            </w:r>
          </w:p>
          <w:p>
            <w:pPr>
              <w:spacing w:after="40"/>
            </w:pPr>
            <w:r>
              <w:rPr>
                <w:sz w:val="20"/>
                <w:szCs w:val="20"/>
              </w:rPr>
              <w:t xml:space="preserve">Proposer le taux courant, modifiable pour l’opération ; conserver devise source et cible, montant, taux et sens ; interdire l’addition directe de devises.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Cas inclus</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EF-FX-007, EF-FX-008, EF-FX-009, EF-FX-014</w:t>
            </w:r>
          </w:p>
        </w:tc>
      </w:tr>
    </w:tbl>
    <w:p>
      <w:pPr>
        <w:pStyle w:val="Heading2"/>
      </w:pPr>
      <w:r>
        <w:t xml:space="preserve">5.2 Catégories et qualification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UC-009</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Gérer les catégories</w:t>
            </w:r>
          </w:p>
          <w:p>
            <w:pPr>
              <w:spacing w:after="40"/>
            </w:pPr>
            <w:r>
              <w:rPr>
                <w:sz w:val="20"/>
                <w:szCs w:val="20"/>
              </w:rPr>
              <w:t xml:space="preserve">Créer, modifier ou désactiver une catégorie personnalisée sans détruire l’historique.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EF-TR-009, EF-TR-010, EF-TR-011</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UC-010</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Catégoriser une transaction (inclus)</w:t>
            </w:r>
          </w:p>
          <w:p>
            <w:pPr>
              <w:spacing w:after="40"/>
            </w:pPr>
            <w:r>
              <w:rPr>
                <w:sz w:val="20"/>
                <w:szCs w:val="20"/>
              </w:rPr>
              <w:t xml:space="preserve">Associer une catégorie active à une opération.</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Cas inclus</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EF-TR-008</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UC-011</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Qualifier une dépense</w:t>
            </w:r>
          </w:p>
          <w:p>
            <w:pPr>
              <w:spacing w:after="40"/>
            </w:pPr>
            <w:r>
              <w:rPr>
                <w:sz w:val="20"/>
                <w:szCs w:val="20"/>
              </w:rPr>
              <w:t xml:space="preserve">Choisir ou réévaluer Nécessaire, Utile, Évitable ou Impulsive sans changer le montant.</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EF-TR-012, EF-TR-013</w:t>
            </w:r>
          </w:p>
        </w:tc>
      </w:tr>
    </w:tbl>
    <w:p>
      <w:pPr>
        <w:pStyle w:val="Heading2"/>
      </w:pPr>
      <w:r>
        <w:t xml:space="preserve">5.3 Saisie des opérations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UC-012</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un revenu</w:t>
            </w:r>
          </w:p>
          <w:p>
            <w:pPr>
              <w:spacing w:after="40"/>
            </w:pPr>
            <w:r>
              <w:rPr>
                <w:sz w:val="20"/>
                <w:szCs w:val="20"/>
              </w:rPr>
              <w:t xml:space="preserve">Créditer un compte ; distinguer revenu régulier, exceptionnel (don) et autres entrées.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EF-TR-001, EF-RE-006, EF-RE-007</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UC-013</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une dépense</w:t>
            </w:r>
          </w:p>
          <w:p>
            <w:pPr>
              <w:spacing w:after="40"/>
            </w:pPr>
            <w:r>
              <w:rPr>
                <w:sz w:val="20"/>
                <w:szCs w:val="20"/>
              </w:rPr>
              <w:t xml:space="preserve">Débiter un compte avec catégorie, nature, description et sources de financement.</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EF-TR-002, EF-TR-004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UC-014</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Contrôler les fonds et affecter les sources (inclus)</w:t>
            </w:r>
          </w:p>
          <w:p>
            <w:pPr>
              <w:spacing w:after="40"/>
            </w:pPr>
            <w:r>
              <w:rPr>
                <w:sz w:val="20"/>
                <w:szCs w:val="20"/>
              </w:rPr>
              <w:t xml:space="preserve">Vérifier la disponibilité, calculer le manque, exiger des sources explicites, bloquer sinon.</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Cas inclus</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EF-SF-001, EF-SF-002, EF-SF-003, EF-SF-004, EF-SF-005, EF-SF-009, EF-SF-011</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UC-015</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un transfert</w:t>
            </w:r>
          </w:p>
          <w:p>
            <w:pPr>
              <w:spacing w:after="40"/>
            </w:pPr>
            <w:r>
              <w:rPr>
                <w:sz w:val="20"/>
                <w:szCs w:val="20"/>
              </w:rPr>
              <w:t xml:space="preserve">Déplacer des fonds entre deux comptes, atomiquement, sans revenu ni dépense.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EF-TR-003, EF-TR-023, EF-SF-007</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UC-016</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Régler une dépense en paiements partiels</w:t>
            </w:r>
          </w:p>
          <w:p>
            <w:pPr>
              <w:spacing w:after="40"/>
            </w:pPr>
            <w:r>
              <w:rPr>
                <w:sz w:val="20"/>
                <w:szCs w:val="20"/>
              </w:rPr>
              <w:t xml:space="preserve">Répartir une dépense en plusieurs paiements, éventuellement en devises différentes.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EF-TR-026</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UC-017</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un remboursement de dépense</w:t>
            </w:r>
          </w:p>
          <w:p>
            <w:pPr>
              <w:spacing w:after="40"/>
            </w:pPr>
            <w:r>
              <w:rPr>
                <w:sz w:val="20"/>
                <w:szCs w:val="20"/>
              </w:rPr>
              <w:t xml:space="preserve">Créer une opération liée à la dépense d’origine ; calculer la dépense nette.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EF-RF-001, EF-RF-002</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UC-018</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une opération « À qualifier »</w:t>
            </w:r>
          </w:p>
          <w:p>
            <w:pPr>
              <w:spacing w:after="40"/>
            </w:pPr>
            <w:r>
              <w:rPr>
                <w:sz w:val="20"/>
                <w:szCs w:val="20"/>
              </w:rPr>
              <w:t xml:space="preserve">Saisir provisoirement une opération dont la nature est inconnue.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UC-019</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Qualifier une opération en attente</w:t>
            </w:r>
          </w:p>
          <w:p>
            <w:pPr>
              <w:spacing w:after="40"/>
            </w:pPr>
            <w:r>
              <w:rPr>
                <w:sz w:val="20"/>
                <w:szCs w:val="20"/>
              </w:rPr>
              <w:t xml:space="preserve">Donner une nature à une opération « À qualifier » et recalculer les indicateurs.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EF-TR-035</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UC-020</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Traiter un doublon potentiel</w:t>
            </w:r>
          </w:p>
          <w:p>
            <w:pPr>
              <w:spacing w:after="40"/>
            </w:pPr>
            <w:r>
              <w:rPr>
                <w:sz w:val="20"/>
                <w:szCs w:val="20"/>
              </w:rPr>
              <w:t xml:space="preserve">Confirmer la saisie ou fusionner : conserver l’originale, annuler la nouvelle et reporter les informations utiles.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EF-TR-036, EF-TR-038</w:t>
            </w:r>
          </w:p>
        </w:tc>
      </w:tr>
    </w:tbl>
    <w:p>
      <w:pPr>
        <w:pStyle w:val="Heading2"/>
      </w:pPr>
      <w:r>
        <w:t xml:space="preserve">5.4 Historique et corrections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UC-021</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Consulter l’historique des transactions</w:t>
            </w:r>
          </w:p>
          <w:p>
            <w:pPr>
              <w:spacing w:after="40"/>
            </w:pPr>
            <w:r>
              <w:rPr>
                <w:sz w:val="20"/>
                <w:szCs w:val="20"/>
              </w:rPr>
              <w:t xml:space="preserve">Voir toutes les transactions, y compris annulées, marquées comme telles.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EF-TR-005</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UC-022</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Rechercher et filtrer les transactions</w:t>
            </w:r>
          </w:p>
          <w:p>
            <w:pPr>
              <w:spacing w:after="40"/>
            </w:pPr>
            <w:r>
              <w:rPr>
                <w:sz w:val="20"/>
                <w:szCs w:val="20"/>
              </w:rPr>
              <w:t xml:space="preserve">Filtrer par texte, période, catégorie, compte, type, statut ou nature.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EF-TR-015, EF-TR-016, EF-TR-017, EF-TR-018, EF-TR-019, EF-TR-020</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UC-023</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Consulter l’historique des événements</w:t>
            </w:r>
          </w:p>
          <w:p>
            <w:pPr>
              <w:spacing w:after="40"/>
            </w:pPr>
            <w:r>
              <w:rPr>
                <w:sz w:val="20"/>
                <w:szCs w:val="20"/>
              </w:rPr>
              <w:t xml:space="preserve">Voir création, modification, annulation et correction, séparément de la situation recalculée.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EF-TR-037</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UC-024</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Modifier une transaction</w:t>
            </w:r>
          </w:p>
          <w:p>
            <w:pPr>
              <w:spacing w:after="40"/>
            </w:pPr>
            <w:r>
              <w:rPr>
                <w:sz w:val="20"/>
                <w:szCs w:val="20"/>
              </w:rPr>
              <w:t xml:space="preserve">Corriger une opération avec ancienne et nouvelle valeur conservées.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EF-TR-006</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UC-025</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Annuler une transaction</w:t>
            </w:r>
          </w:p>
          <w:p>
            <w:pPr>
              <w:spacing w:after="40"/>
            </w:pPr>
            <w:r>
              <w:rPr>
                <w:sz w:val="20"/>
                <w:szCs w:val="20"/>
              </w:rPr>
              <w:t xml:space="preserve">Retirer l’effet financier d’une opération sans la supprimer.</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EF-TR-007</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UC-026</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Réaffecter les sources de financement</w:t>
            </w:r>
          </w:p>
          <w:p>
            <w:pPr>
              <w:spacing w:after="40"/>
            </w:pPr>
            <w:r>
              <w:rPr>
                <w:sz w:val="20"/>
                <w:szCs w:val="20"/>
              </w:rPr>
              <w:t xml:space="preserve">Remplacer ou ajuster les sources d’une dépense, après confirmation.</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EF-SF-010</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UC-027</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Historiser et recalculer les effets (inclus)</w:t>
            </w:r>
          </w:p>
          <w:p>
            <w:pPr>
              <w:spacing w:after="40"/>
            </w:pPr>
            <w:r>
              <w:rPr>
                <w:sz w:val="20"/>
                <w:szCs w:val="20"/>
              </w:rPr>
              <w:t xml:space="preserve">Enregistrer l’événement, suivre les liens causaux, recalculer soldes et indicateurs.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Cas inclus</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EF-TR-033</w:t>
            </w:r>
          </w:p>
        </w:tc>
      </w:tr>
    </w:tbl>
    <w:p>
      <w:pPr>
        <w:pStyle w:val="Heading2"/>
      </w:pPr>
      <w:r>
        <w:t xml:space="preserve">5.5 Tableau de bord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Consulter le tableau de bord</w:t>
            </w:r>
          </w:p>
          <w:p>
            <w:pPr>
              <w:spacing w:after="40"/>
            </w:pPr>
            <w:r>
              <w:rPr>
                <w:sz w:val="20"/>
                <w:szCs w:val="20"/>
              </w:rPr>
              <w:t xml:space="preserve">Voir disponible, épargne, patrimoine, revenus, dépenses et répartitions ; enrichi aux lots 2 et 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 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EF-DA-001, EF-DA-002, EF-DA-003, EF-DA-004, EF-DA-005, EF-DA-006, EF-DA-007, EF-DA-008, EF-DA-009, EF-DA-010, EF-DA-011</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UC-029</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Choisir la période d’analyse</w:t>
            </w:r>
          </w:p>
          <w:p>
            <w:pPr>
              <w:spacing w:after="40"/>
            </w:pPr>
            <w:r>
              <w:rPr>
                <w:sz w:val="20"/>
                <w:szCs w:val="20"/>
              </w:rPr>
              <w:t xml:space="preserve">Mois courant par défaut ; aujourd’hui, semaine, année, période précédente ou personnalisée.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EF-DA-012</w:t>
            </w:r>
          </w:p>
        </w:tc>
      </w:tr>
    </w:tbl>
    <w:p>
      <w:pPr>
        <w:pStyle w:val="Heading2"/>
      </w:pPr>
      <w:r>
        <w:t xml:space="preserve">5.6 Épargne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UC-030</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Désigner ou créer un compte d’épargne</w:t>
            </w:r>
          </w:p>
          <w:p>
            <w:pPr>
              <w:spacing w:after="40"/>
            </w:pPr>
            <w:r>
              <w:rPr>
                <w:sz w:val="20"/>
                <w:szCs w:val="20"/>
              </w:rPr>
              <w:t xml:space="preserve">Choisir un compte existant ou en créer un dédié ; l’épargne virtuelle n’existe pas.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EF-EP-008</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UC-031</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Créer un objectif d’épargne</w:t>
            </w:r>
          </w:p>
          <w:p>
            <w:pPr>
              <w:spacing w:after="40"/>
            </w:pPr>
            <w:r>
              <w:rPr>
                <w:sz w:val="20"/>
                <w:szCs w:val="20"/>
              </w:rPr>
              <w:t xml:space="preserve">Nom, montant cible, date limite facultative, description, compte d’épargne associé.</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EF-EP-001, EF-EP-014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UC-032</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Contribuer à un objectif d’épargne</w:t>
            </w:r>
          </w:p>
          <w:p>
            <w:pPr>
              <w:spacing w:after="40"/>
            </w:pPr>
            <w:r>
              <w:rPr>
                <w:sz w:val="20"/>
                <w:szCs w:val="20"/>
              </w:rPr>
              <w:t xml:space="preserve">Transférer des fonds disponibles vers le compte d’épargne de l’objectif.</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EF-EP-002, EF-EP-006, EF-EP-009, EF-TR-024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UC-033</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Retirer de l’épargne</w:t>
            </w:r>
          </w:p>
          <w:p>
            <w:pPr>
              <w:spacing w:after="40"/>
            </w:pPr>
            <w:r>
              <w:rPr>
                <w:sz w:val="20"/>
                <w:szCs w:val="20"/>
              </w:rPr>
              <w:t xml:space="preserve">Ramener des fonds de l’épargne vers l’argent disponible, sans revenu.</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EF-EP-016</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UC-034</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Suivre l’épargne</w:t>
            </w:r>
          </w:p>
          <w:p>
            <w:pPr>
              <w:spacing w:after="40"/>
            </w:pPr>
            <w:r>
              <w:rPr>
                <w:sz w:val="20"/>
                <w:szCs w:val="20"/>
              </w:rPr>
              <w:t xml:space="preserve">Progression, montant restant, historique des contributions et retraits, disponible vs patrimoine.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EF-EP-003, EF-EP-004, EF-EP-005, EF-EP-007, EF-EP-010</w:t>
            </w:r>
          </w:p>
        </w:tc>
      </w:tr>
    </w:tbl>
    <w:p>
      <w:pPr>
        <w:pStyle w:val="Heading2"/>
      </w:pPr>
      <w:r>
        <w:t xml:space="preserve">5.7 Dettes et créances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UC-035</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une dette ou un prêt reçu</w:t>
            </w:r>
          </w:p>
          <w:p>
            <w:pPr>
              <w:spacing w:after="40"/>
            </w:pPr>
            <w:r>
              <w:rPr>
                <w:sz w:val="20"/>
                <w:szCs w:val="20"/>
              </w:rPr>
              <w:t xml:space="preserve">Constater une somme due à un tiers ; un prêt reçu n’est jamais un revenu.</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EF-DE-001, EF-SF-006</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UC-036</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une créance</w:t>
            </w:r>
          </w:p>
          <w:p>
            <w:pPr>
              <w:spacing w:after="40"/>
            </w:pPr>
            <w:r>
              <w:rPr>
                <w:sz w:val="20"/>
                <w:szCs w:val="20"/>
              </w:rPr>
              <w:t xml:space="preserve">Constater une somme qu’un tiers doit à l’utilisateur.</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EF-DE-002</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UC-037</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le remboursement d’une créance</w:t>
            </w:r>
          </w:p>
          <w:p>
            <w:pPr>
              <w:spacing w:after="40"/>
            </w:pPr>
            <w:r>
              <w:rPr>
                <w:sz w:val="20"/>
                <w:szCs w:val="20"/>
              </w:rPr>
              <w:t xml:space="preserve">Créer l’entrée dans le compte choisi, recalculer le restant, solder si nul.</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EF-DE-003, EF-DE-004, EF-DE-005, EF-DE-006, EF-DE-008, EF-DE-009, EF-DE-012, EF-DE-013</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UC-038</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Rembourser une dette</w:t>
            </w:r>
          </w:p>
          <w:p>
            <w:pPr>
              <w:spacing w:after="40"/>
            </w:pPr>
            <w:r>
              <w:rPr>
                <w:sz w:val="20"/>
                <w:szCs w:val="20"/>
              </w:rPr>
              <w:t xml:space="preserve">Enregistrer une sortie depuis un compte, liée à la dette ; recalculer le restant.</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EF-DE-003, EF-DE-004, EF-DE-005, EF-DE-008, EF-DE-011, EF-DE-012, EF-DE-013</w:t>
            </w:r>
          </w:p>
        </w:tc>
      </w:tr>
    </w:tbl>
    <w:p>
      <w:pPr>
        <w:pStyle w:val="Heading2"/>
      </w:pPr>
      <w:r>
        <w:t xml:space="preserve">5.8 Budgets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UC-039</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Définir un budget</w:t>
            </w:r>
          </w:p>
          <w:p>
            <w:pPr>
              <w:spacing w:after="40"/>
            </w:pPr>
            <w:r>
              <w:rPr>
                <w:sz w:val="20"/>
                <w:szCs w:val="20"/>
              </w:rPr>
              <w:t xml:space="preserve">Budget global mensuel ou par catégorie, avec période et devise de référence.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EF-BU-001, EF-BU-002, EF-BU-003</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UC-040</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Modifier un budget en cours de période</w:t>
            </w:r>
          </w:p>
          <w:p>
            <w:pPr>
              <w:spacing w:after="40"/>
            </w:pPr>
            <w:r>
              <w:rPr>
                <w:sz w:val="20"/>
                <w:szCs w:val="20"/>
              </w:rPr>
              <w:t xml:space="preserve">Changer le montant en conservant les versions et leurs périodes d’application.</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EF-BU-007</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UC-041</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Suivre un budget</w:t>
            </w:r>
          </w:p>
          <w:p>
            <w:pPr>
              <w:spacing w:after="40"/>
            </w:pPr>
            <w:r>
              <w:rPr>
                <w:sz w:val="20"/>
                <w:szCs w:val="20"/>
              </w:rPr>
              <w:t xml:space="preserve">Comparer prévu et réel, voir le taux de consommation et les dépassements.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EF-BU-004, EF-BU-005, EF-BU-006, EF-BU-009, EF-BU-010</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UC-042</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Clôturer un budget en fin de période</w:t>
            </w:r>
          </w:p>
          <w:p>
            <w:pPr>
              <w:spacing w:after="40"/>
            </w:pPr>
            <w:r>
              <w:rPr>
                <w:sz w:val="20"/>
                <w:szCs w:val="20"/>
              </w:rPr>
              <w:t xml:space="preserve">Clôturer automatiquement, conserver l’historique, ne pas reporter le non-consommé.</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Planificateur système</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EF-BU-008</w:t>
            </w:r>
          </w:p>
        </w:tc>
      </w:tr>
    </w:tbl>
    <w:p>
      <w:pPr>
        <w:pStyle w:val="Heading2"/>
      </w:pPr>
      <w:r>
        <w:t xml:space="preserve">5.9 Alertes et paramètres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UC-043</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Configurer les seuils et paramètres d’analyse</w:t>
            </w:r>
          </w:p>
          <w:p>
            <w:pPr>
              <w:spacing w:after="40"/>
            </w:pPr>
            <w:r>
              <w:rPr>
                <w:sz w:val="20"/>
                <w:szCs w:val="20"/>
              </w:rPr>
              <w:t xml:space="preserve">Seuils d’alerte et d’analyse, période par défaut, règles de calendrier.</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EF-AL-002, EF-PA-003</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UC-044</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Évaluer et émettre les alertes</w:t>
            </w:r>
          </w:p>
          <w:p>
            <w:pPr>
              <w:spacing w:after="40"/>
            </w:pPr>
            <w:r>
              <w:rPr>
                <w:sz w:val="20"/>
                <w:szCs w:val="20"/>
              </w:rPr>
              <w:t xml:space="preserve">Détecter dépassements et constats, graduer, éviter les répétitions, garder l’historique.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Planificateur système</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 → 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EF-AL-001, EF-AL-003, EF-AL-004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UC-045</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Consulter les alertes et leur historique</w:t>
            </w:r>
          </w:p>
          <w:p>
            <w:pPr>
              <w:spacing w:after="40"/>
            </w:pPr>
            <w:r>
              <w:rPr>
                <w:sz w:val="20"/>
                <w:szCs w:val="20"/>
              </w:rPr>
              <w:t xml:space="preserve">Voir les alertes actives, leur évolution et leur résolution.</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UC-046</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Configurer les notifications externes</w:t>
            </w:r>
          </w:p>
          <w:p>
            <w:pPr>
              <w:spacing w:after="40"/>
            </w:pPr>
            <w:r>
              <w:rPr>
                <w:sz w:val="20"/>
                <w:szCs w:val="20"/>
              </w:rPr>
              <w:t xml:space="preserve">Activer facultativement des notifications hors application.</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5</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EF-AL-005</w:t>
            </w:r>
          </w:p>
        </w:tc>
      </w:tr>
    </w:tbl>
    <w:p>
      <w:pPr>
        <w:pStyle w:val="Heading2"/>
      </w:pPr>
      <w:r>
        <w:t xml:space="preserve">5.10 Prévisions et récurrences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UC-047</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Créer une prévision ou une récurrence</w:t>
            </w:r>
          </w:p>
          <w:p>
            <w:pPr>
              <w:spacing w:after="40"/>
            </w:pPr>
            <w:r>
              <w:rPr>
                <w:sz w:val="20"/>
                <w:szCs w:val="20"/>
              </w:rPr>
              <w:t xml:space="preserve">Échéance, catégorie, compte suggéré, montant (exact ou estimé), fréquence et règles de calendrier.</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EF-PV-001, EF-PV-006, EF-PV-009</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UC-048</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Modifier, reporter, suspendre ou annuler une prévision</w:t>
            </w:r>
          </w:p>
          <w:p>
            <w:pPr>
              <w:spacing w:after="40"/>
            </w:pPr>
            <w:r>
              <w:rPr>
                <w:sz w:val="20"/>
                <w:szCs w:val="20"/>
              </w:rPr>
              <w:t xml:space="preserve">Agir sur une occurrence ou les suivantes, sans toucher aux dépenses réelles passées.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EF-PV-005, EF-PV-008</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UC-049</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Réaliser une prévision</w:t>
            </w:r>
          </w:p>
          <w:p>
            <w:pPr>
              <w:spacing w:after="40"/>
            </w:pPr>
            <w:r>
              <w:rPr>
                <w:sz w:val="20"/>
                <w:szCs w:val="20"/>
              </w:rPr>
              <w:t xml:space="preserve">Confirmer un paiement réel lié à la prévision, y compris partiel.</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EF-PV-002, EF-PV-003, EF-PV-004, EF-PV-007</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UC-050</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Générer les occurrences et mettre à jour les états</w:t>
            </w:r>
          </w:p>
          <w:p>
            <w:pPr>
              <w:spacing w:after="40"/>
            </w:pPr>
            <w:r>
              <w:rPr>
                <w:sz w:val="20"/>
                <w:szCs w:val="20"/>
              </w:rPr>
              <w:t xml:space="preserve">Produire les occurrences futures et passer en retard les échéances dépassées, sans créer de dépense.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Planificateur système</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EF-PV-001, EF-PV-009</w:t>
            </w:r>
          </w:p>
        </w:tc>
      </w:tr>
    </w:tbl>
    <w:p>
      <w:pPr>
        <w:pStyle w:val="Heading2"/>
      </w:pPr>
      <w:r>
        <w:t xml:space="preserve">5.11 Analyses et rapports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UC-051</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Analyser les dépenses</w:t>
            </w:r>
          </w:p>
          <w:p>
            <w:pPr>
              <w:spacing w:after="40"/>
            </w:pPr>
            <w:r>
              <w:rPr>
                <w:sz w:val="20"/>
                <w:szCs w:val="20"/>
              </w:rPr>
              <w:t xml:space="preserve">Par catégorie et par qualification, catégories les plus coûteuses, plus forte hausse.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EF-AN-001, EF-AN-002, EF-AN-003, EF-TR-014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UC-052</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Détecter petites dépenses et dépenses répétitives</w:t>
            </w:r>
          </w:p>
          <w:p>
            <w:pPr>
              <w:spacing w:after="40"/>
            </w:pPr>
            <w:r>
              <w:rPr>
                <w:sz w:val="20"/>
                <w:szCs w:val="20"/>
              </w:rPr>
              <w:t xml:space="preserve">Mettre en évidence les cumuls de petites dépenses et les répétitions, comme constats.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EF-AN-004, EF-AN-005</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UC-053</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Comparer deux périodes</w:t>
            </w:r>
          </w:p>
          <w:p>
            <w:pPr>
              <w:spacing w:after="40"/>
            </w:pPr>
            <w:r>
              <w:rPr>
                <w:sz w:val="20"/>
                <w:szCs w:val="20"/>
              </w:rPr>
              <w:t xml:space="preserve">Calculer les variations, dépassements et écarts entre périodes équivalentes.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EF-AN-006, EF-AN-007, EF-AN-008, EF-AN-009, EF-AN-010</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UC-054</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Consulter le bilan mensuel</w:t>
            </w:r>
          </w:p>
          <w:p>
            <w:pPr>
              <w:spacing w:after="40"/>
            </w:pPr>
            <w:r>
              <w:rPr>
                <w:sz w:val="20"/>
                <w:szCs w:val="20"/>
              </w:rPr>
              <w:t xml:space="preserve">Revenus, dépenses, épargne, répartitions, budgets, dépassements, comparaison.</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EF-RA-001</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UC-055</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Consulter la synthèse annuelle</w:t>
            </w:r>
          </w:p>
          <w:p>
            <w:pPr>
              <w:spacing w:after="40"/>
            </w:pPr>
            <w:r>
              <w:rPr>
                <w:sz w:val="20"/>
                <w:szCs w:val="20"/>
              </w:rPr>
              <w:t xml:space="preserve">Vue annuelle de la situation financière.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EF-RA-002</w:t>
            </w:r>
          </w:p>
        </w:tc>
      </w:tr>
    </w:tbl>
    <w:p>
      <w:pPr>
        <w:pStyle w:val="Heading2"/>
      </w:pPr>
      <w:r>
        <w:t xml:space="preserve">5.12 Sauvegarde, export et 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150"/>
        <w:gridCol w:w="650"/>
        <w:gridCol w:w="2638"/>
      </w:tblGrid>
      <w:tr>
        <w:trPr>
          <w:cantSplit/>
          <w:tblHeader/>
        </w:trPr>
        <w:tc>
          <w:tcPr>
            <w:tcW w:type="dxa" w:w="9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43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d’utilisation</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Acteur</w:t>
            </w:r>
          </w:p>
        </w:tc>
        <w:tc>
          <w:tcPr>
            <w:tcW w:type="dxa" w:w="6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Lot</w:t>
            </w:r>
          </w:p>
        </w:tc>
        <w:tc>
          <w:tcPr>
            <w:tcW w:type="dxa" w:w="26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Exigences</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UC-056</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Sauvegarder les données</w:t>
            </w:r>
          </w:p>
          <w:p>
            <w:pPr>
              <w:spacing w:after="40"/>
            </w:pPr>
            <w:r>
              <w:rPr>
                <w:sz w:val="20"/>
                <w:szCs w:val="20"/>
              </w:rPr>
              <w:t xml:space="preserve">Créer une sauvegarde manuelle des données financières.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EF-SV-001</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UC-057</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Sauvegarder automatiquement</w:t>
            </w:r>
          </w:p>
          <w:p>
            <w:pPr>
              <w:spacing w:after="40"/>
            </w:pPr>
            <w:r>
              <w:rPr>
                <w:sz w:val="20"/>
                <w:szCs w:val="20"/>
              </w:rPr>
              <w:t xml:space="preserve">Créer des sauvegardes selon la configuration simple retenue.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Planificateur système</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UC-058</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Restaurer une sauvegarde</w:t>
            </w:r>
          </w:p>
          <w:p>
            <w:pPr>
              <w:spacing w:after="40"/>
            </w:pPr>
            <w:r>
              <w:rPr>
                <w:sz w:val="20"/>
                <w:szCs w:val="20"/>
              </w:rPr>
              <w:t xml:space="preserve">Choisir une sauvegarde, confirmer, contrôler l’intégrité, préserver les relations.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EF-SV-002, EF-SV-003</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UC-059</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Exporter les transactions en CSV</w:t>
            </w:r>
          </w:p>
          <w:p>
            <w:pPr>
              <w:spacing w:after="40"/>
            </w:pPr>
            <w:r>
              <w:rPr>
                <w:sz w:val="20"/>
                <w:szCs w:val="20"/>
              </w:rPr>
              <w:t xml:space="preserve">Exporter dans un format exploitable, distinct de la sauvegarde technique.</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EF-RA-003, EF-SV-006</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UC-060</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Exporter en Excel ou en PDF</w:t>
            </w:r>
          </w:p>
          <w:p>
            <w:pPr>
              <w:spacing w:after="40"/>
            </w:pPr>
            <w:r>
              <w:rPr>
                <w:sz w:val="20"/>
                <w:szCs w:val="20"/>
              </w:rPr>
              <w:t xml:space="preserve">Exports avancés des transactions et rapports.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5</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UC-061</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Créer l’accès à l’application</w:t>
            </w:r>
          </w:p>
          <w:p>
            <w:pPr>
              <w:spacing w:after="40"/>
            </w:pPr>
            <w:r>
              <w:rPr>
                <w:sz w:val="20"/>
                <w:szCs w:val="20"/>
              </w:rPr>
              <w:t xml:space="preserve">À la première utilisation : nom d’utilisateur, mot de passe et code de récupération.</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EF-AU-001, EF-AU-006</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UC-062</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S’authentifier et se déconnecter</w:t>
            </w:r>
          </w:p>
          <w:p>
            <w:pPr>
              <w:spacing w:after="40"/>
            </w:pPr>
            <w:r>
              <w:rPr>
                <w:sz w:val="20"/>
                <w:szCs w:val="20"/>
              </w:rPr>
              <w:t xml:space="preserve">Accès exigé pour toute donnée ; session fermée après inactivité ; essais répétés ralentis.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EF-AU-002, EF-AU-003, EF-AU-005</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UC-063</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Changer le mot de passe</w:t>
            </w:r>
          </w:p>
          <w:p>
            <w:pPr>
              <w:spacing w:after="40"/>
            </w:pPr>
            <w:r>
              <w:rPr>
                <w:sz w:val="20"/>
                <w:szCs w:val="20"/>
              </w:rPr>
              <w:t xml:space="preserve">Redéfinir le mot de passe en fournissant l’actuel.</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EF-AU-004</w:t>
            </w:r>
          </w:p>
        </w:tc>
      </w:tr>
      <w:tr>
        <w:trPr>
          <w:cantSplit/>
        </w:trPr>
        <w:tc>
          <w:tcPr>
            <w:tcW w:type="dxa" w:w="9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UC-064</w:t>
            </w:r>
          </w:p>
        </w:tc>
        <w:tc>
          <w:tcPr>
            <w:tcW w:type="dxa" w:w="43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Récupérer l’accès avec le code de récupération</w:t>
            </w:r>
          </w:p>
          <w:p>
            <w:pPr>
              <w:spacing w:after="40"/>
            </w:pPr>
            <w:r>
              <w:rPr>
                <w:sz w:val="20"/>
                <w:szCs w:val="20"/>
              </w:rPr>
              <w:t xml:space="preserve">Redéfinir un mot de passe oublié sans perdre les données.</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c>
          <w:tcPr>
            <w:tcW w:type="dxa" w:w="6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c>
          <w:tcPr>
            <w:tcW w:type="dxa" w:w="26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EF-AU-006</w:t>
            </w:r>
          </w:p>
        </w:tc>
      </w:tr>
    </w:tbl>
    <w:p>
      <w:pPr>
        <w:pStyle w:val="Heading1"/>
      </w:pPr>
      <w:r>
        <w:t xml:space="preserve">6. Fiches détaillées</w:t>
      </w:r>
    </w:p>
    <w:p>
      <w:pPr>
        <w:spacing w:after="120"/>
      </w:pPr>
      <w:r>
        <w:t xml:space="preserve">Les cas ci-dessous portent les règles les plus délicates : financement, annulation, correction, remboursements, épargne, prévisions, restauration. Les autres cas se déduisent du catalogue et des règles métier.</w:t>
      </w:r>
    </w:p>
    <w:p>
      <w:pPr>
        <w:pStyle w:val="Heading2"/>
      </w:pPr>
      <w:r>
        <w:t xml:space="preserve">6.1 UC-004 — Désactiver un compte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Retirer un compte de l’usage courant sans perdre son historique.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Le compte est actif.</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demande la désactivation et confirme.</w:t>
            </w:r>
          </w:p>
          <w:p>
            <w:pPr>
              <w:spacing w:after="40"/>
            </w:pPr>
            <w:r>
              <w:rPr>
                <w:sz w:val="20"/>
                <w:szCs w:val="20"/>
              </w:rPr>
              <w:t xml:space="preserve">2. Le système vérifie les conditions et désactive le compte.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Compte d’épargne au solde non nul : refus tant que les fonds n’ont pas été transférés ou traités par une opération explicite.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Le compte reste visible dans l’historique et ne peut plus recevoir de nouvelles opérations.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RB-CO-003 ; EF-CO-005.</w:t>
            </w:r>
          </w:p>
        </w:tc>
      </w:tr>
    </w:tbl>
    <w:p>
      <w:pPr>
        <w:pStyle w:val="Heading2"/>
      </w:pPr>
      <w:r>
        <w:t xml:space="preserve">6.2 UC-006 — Définir ou modifier le taux de change USD/CDF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Initialiser puis mettre à jour le taux USD/CDF, fixé par l’utilisateur, en conservant l’historique.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Pour l’initialisation : aucune. Pour une modification : un taux a déjà été défini.</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ouvre les paramètres de change (ou y est invité au premier besoin de conversion).</w:t>
            </w:r>
          </w:p>
          <w:p>
            <w:pPr>
              <w:spacing w:after="40"/>
            </w:pPr>
            <w:r>
              <w:rPr>
                <w:sz w:val="20"/>
                <w:szCs w:val="20"/>
              </w:rPr>
              <w:t xml:space="preserve">2. Il saisit le taux (1 USD = X CDF) et, s’il le souhaite, un motif.</w:t>
            </w:r>
          </w:p>
          <w:p>
            <w:pPr>
              <w:spacing w:after="40"/>
            </w:pPr>
            <w:r>
              <w:rPr>
                <w:sz w:val="20"/>
                <w:szCs w:val="20"/>
              </w:rPr>
              <w:t xml:space="preserve">3. Le système affiche l’ancien taux (aucun lors de l’initialisation), le nouveau taux et l’écart, puis demande confirmation.</w:t>
            </w:r>
          </w:p>
          <w:p>
            <w:pPr>
              <w:spacing w:after="40"/>
            </w:pPr>
            <w:r>
              <w:rPr>
                <w:sz w:val="20"/>
                <w:szCs w:val="20"/>
              </w:rPr>
              <w:t xml:space="preserve">4. Le système enregistre ancien taux, nouveau taux, date/heure et motif.</w:t>
            </w:r>
          </w:p>
          <w:p>
            <w:pPr>
              <w:spacing w:after="40"/>
            </w:pPr>
            <w:r>
              <w:rPr>
                <w:sz w:val="20"/>
                <w:szCs w:val="20"/>
              </w:rPr>
              <w:t xml:space="preserve">5. Le nouveau taux devient le taux courant : il est proposé par défaut dans chaque opération qui exige une conversion, et reste modifiable pour cette seule opération.</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Taux nul ou négatif : refus.</w:t>
            </w:r>
          </w:p>
          <w:p>
            <w:pPr>
              <w:pStyle w:val="ListParagraph"/>
              <w:numPr>
                <w:ilvl w:val="0"/>
                <w:numId w:val="2"/>
              </w:numPr>
              <w:spacing w:after="40"/>
            </w:pPr>
            <w:r>
              <w:rPr>
                <w:sz w:val="20"/>
                <w:szCs w:val="20"/>
              </w:rPr>
              <w:t xml:space="preserve">Premier besoin de conversion alors qu’aucun taux n’est défini : le système invite à l’initialiser ; les conversions et les opérations qui en dépendent restent bloquées, les opérations dans une seule devise restent possibles.</w:t>
            </w:r>
          </w:p>
          <w:p>
            <w:pPr>
              <w:pStyle w:val="ListParagraph"/>
              <w:numPr>
                <w:ilvl w:val="0"/>
                <w:numId w:val="2"/>
              </w:numPr>
              <w:spacing w:after="40"/>
            </w:pPr>
            <w:r>
              <w:rPr>
                <w:sz w:val="20"/>
                <w:szCs w:val="20"/>
              </w:rPr>
              <w:t xml:space="preserve">Le taux n’est jamais récupéré ni mis à jour automatiquement : il dépend du pays ou du lieu et c’est l’utilisateur qui le fixe.</w:t>
            </w:r>
          </w:p>
          <w:p>
            <w:pPr>
              <w:pStyle w:val="ListParagraph"/>
              <w:numPr>
                <w:ilvl w:val="0"/>
                <w:numId w:val="2"/>
              </w:numPr>
              <w:spacing w:after="40"/>
            </w:pPr>
            <w:r>
              <w:rPr>
                <w:sz w:val="20"/>
                <w:szCs w:val="20"/>
              </w:rPr>
              <w:t xml:space="preserve">Motif laissé vide : accepté, la fixation est historisée quand même (P-02).</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L’historique des taux est enrichi, y compris pour l’initialisation. Aucune opération passée n’est recalculée : chacune garde le taux appliqué à son enregistrement.</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RB-FX-005 à 008, RB-IN-004, RB-IN-006 ; V1.2 §12.1 ; EF-FX-004, 005, 010, 013, 014.</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Exemple</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budget de 100 USD couvert par 80 USD et 40 000 CDF au taux 1 USD = 2 000 CDF compte 20 USD pour la partie CDF ; ce calcul reste vrai après un changement de taux.</w:t>
            </w:r>
          </w:p>
        </w:tc>
      </w:tr>
    </w:tbl>
    <w:p>
      <w:pPr>
        <w:pStyle w:val="Heading2"/>
      </w:pPr>
      <w:r>
        <w:t xml:space="preserve">6.3 UC-013 — Enregistrer une dépense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une sortie d’argent de consommation, catégorisée et tracée.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Au moins un compte actif existe.</w:t>
            </w:r>
          </w:p>
          <w:p>
            <w:pPr>
              <w:pStyle w:val="ListParagraph"/>
              <w:numPr>
                <w:ilvl w:val="0"/>
                <w:numId w:val="2"/>
              </w:numPr>
              <w:spacing w:after="40"/>
            </w:pPr>
            <w:r>
              <w:rPr>
                <w:sz w:val="20"/>
                <w:szCs w:val="20"/>
              </w:rPr>
              <w:t xml:space="preserve">Au moins une catégorie active existe.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saisit montant, devise, date, compte, catégorie, nature (nécessaire, utile, évitable, impulsive), description et note facultative.</w:t>
            </w:r>
          </w:p>
          <w:p>
            <w:pPr>
              <w:spacing w:after="40"/>
            </w:pPr>
            <w:r>
              <w:rPr>
                <w:sz w:val="20"/>
                <w:szCs w:val="20"/>
              </w:rPr>
              <w:t xml:space="preserve">2. Le système valide les données (montant strictement positif, compte et catégorie actifs).</w:t>
            </w:r>
          </w:p>
          <w:p>
            <w:pPr>
              <w:spacing w:after="40"/>
            </w:pPr>
            <w:r>
              <w:rPr>
                <w:sz w:val="20"/>
                <w:szCs w:val="20"/>
              </w:rPr>
              <w:t xml:space="preserve">3. Le système exécute « Contrôler les fonds et affecter les sources » ; ici le solde du compte couvre la dépense.</w:t>
            </w:r>
          </w:p>
          <w:p>
            <w:pPr>
              <w:spacing w:after="40"/>
            </w:pPr>
            <w:r>
              <w:rPr>
                <w:sz w:val="20"/>
                <w:szCs w:val="20"/>
              </w:rPr>
              <w:t xml:space="preserve">4. Le système enregistre la dépense et débite le compte de façon atomique.</w:t>
            </w:r>
          </w:p>
          <w:p>
            <w:pPr>
              <w:spacing w:after="40"/>
            </w:pPr>
            <w:r>
              <w:rPr>
                <w:sz w:val="20"/>
                <w:szCs w:val="20"/>
              </w:rPr>
              <w:t xml:space="preserve">5. Le système recalcule soldes, tableau de bord et budgets concernés ; un dépassement de budget produit un avertissement sans bloquer la saisie.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Fonds insuffisants : voir « Contrôler les fonds et affecter les sources » ; sans source suffisante, la validation est bloquée.</w:t>
            </w:r>
          </w:p>
          <w:p>
            <w:pPr>
              <w:pStyle w:val="ListParagraph"/>
              <w:numPr>
                <w:ilvl w:val="0"/>
                <w:numId w:val="2"/>
              </w:numPr>
              <w:spacing w:after="40"/>
            </w:pPr>
            <w:r>
              <w:rPr>
                <w:sz w:val="20"/>
                <w:szCs w:val="20"/>
              </w:rPr>
              <w:t xml:space="preserve">Devise de la dépense différente de celle du compte : le cas « Convertir un montant » s’applique, avec taux et sens enregistrés.</w:t>
            </w:r>
          </w:p>
          <w:p>
            <w:pPr>
              <w:pStyle w:val="ListParagraph"/>
              <w:numPr>
                <w:ilvl w:val="0"/>
                <w:numId w:val="2"/>
              </w:numPr>
              <w:spacing w:after="40"/>
            </w:pPr>
            <w:r>
              <w:rPr>
                <w:sz w:val="20"/>
                <w:szCs w:val="20"/>
              </w:rPr>
              <w:t xml:space="preserve">Doublon potentiel (lot 3) : le cas « Traiter un doublon potentiel » s’applique.</w:t>
            </w:r>
          </w:p>
          <w:p>
            <w:pPr>
              <w:pStyle w:val="ListParagraph"/>
              <w:numPr>
                <w:ilvl w:val="0"/>
                <w:numId w:val="2"/>
              </w:numPr>
              <w:spacing w:after="40"/>
            </w:pPr>
            <w:r>
              <w:rPr>
                <w:sz w:val="20"/>
                <w:szCs w:val="20"/>
              </w:rPr>
              <w:t xml:space="preserve">Règlement en plusieurs paiements (lot 3) : le cas « Régler une dépense en paiements partiels » s’applique.</w:t>
            </w:r>
          </w:p>
          <w:p>
            <w:pPr>
              <w:pStyle w:val="ListParagraph"/>
              <w:numPr>
                <w:ilvl w:val="0"/>
                <w:numId w:val="2"/>
              </w:numPr>
              <w:spacing w:after="40"/>
            </w:pPr>
            <w:r>
              <w:rPr>
                <w:sz w:val="20"/>
                <w:szCs w:val="20"/>
              </w:rPr>
              <w:t xml:space="preserve">Montant estimé : la dépense est marquée comme estimée et corrigeable avec historique.</w:t>
            </w:r>
          </w:p>
          <w:p>
            <w:pPr>
              <w:pStyle w:val="ListParagraph"/>
              <w:numPr>
                <w:ilvl w:val="0"/>
                <w:numId w:val="2"/>
              </w:numPr>
              <w:spacing w:after="40"/>
            </w:pPr>
            <w:r>
              <w:rPr>
                <w:sz w:val="20"/>
                <w:szCs w:val="20"/>
              </w:rPr>
              <w:t xml:space="preserve">Frais liés à l’achat (lot 3) : enregistrés séparément et reliés au même paiement ; frais prévus et frais réels sont distincts.</w:t>
            </w:r>
          </w:p>
          <w:p>
            <w:pPr>
              <w:pStyle w:val="ListParagraph"/>
              <w:numPr>
                <w:ilvl w:val="0"/>
                <w:numId w:val="2"/>
              </w:numPr>
              <w:spacing w:after="40"/>
            </w:pPr>
            <w:r>
              <w:rPr>
                <w:sz w:val="20"/>
                <w:szCs w:val="20"/>
              </w:rPr>
              <w:t xml:space="preserve">Compte ou catégorie inactifs : refus avec message explicite.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Une dépense active existe, le compte est débité, un événement d’historique est créé, les budgets sont recalculés.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RB-DE-001 à 003, RB-SF-005, RB-BU-005 ; EF-TR-002, EF-TR-004. Toute transaction est enregistrée, même de très faible montant.</w:t>
            </w:r>
          </w:p>
        </w:tc>
      </w:tr>
    </w:tbl>
    <w:p>
      <w:pPr>
        <w:pStyle w:val="Heading2"/>
      </w:pPr>
      <w:r>
        <w:t xml:space="preserve">6.4 UC-014 — Contrôler les fonds et affecter les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Aucun (cas inclus)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Garantir que chaque dépense est couverte par des sources explicites et traçables.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Une dépense est en cours de saisie ou de modification.</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Le système calcule les fonds disponibles du compte concerné.</w:t>
            </w:r>
          </w:p>
          <w:p>
            <w:pPr>
              <w:spacing w:after="40"/>
            </w:pPr>
            <w:r>
              <w:rPr>
                <w:sz w:val="20"/>
                <w:szCs w:val="20"/>
              </w:rPr>
              <w:t xml:space="preserve">2. Si les fonds couvrent la dépense, la source est le solde du compte et le cas se termine.</w:t>
            </w:r>
          </w:p>
          <w:p>
            <w:pPr>
              <w:spacing w:after="40"/>
            </w:pPr>
            <w:r>
              <w:rPr>
                <w:sz w:val="20"/>
                <w:szCs w:val="20"/>
              </w:rPr>
              <w:t xml:space="preserve">3. Sinon, le système calcule le montant manquant et le présente à l’utilisateur.</w:t>
            </w:r>
          </w:p>
          <w:p>
            <w:pPr>
              <w:spacing w:after="40"/>
            </w:pPr>
            <w:r>
              <w:rPr>
                <w:sz w:val="20"/>
                <w:szCs w:val="20"/>
              </w:rPr>
              <w:t xml:space="preserve">4. L’utilisateur déclare une ou plusieurs sources complémentaires (solde d’un autre compte, don ou revenu exceptionnel, remboursement reçu, transfert) avec montant et nature.</w:t>
            </w:r>
          </w:p>
          <w:p>
            <w:pPr>
              <w:spacing w:after="40"/>
            </w:pPr>
            <w:r>
              <w:rPr>
                <w:sz w:val="20"/>
                <w:szCs w:val="20"/>
              </w:rPr>
              <w:t xml:space="preserve">5. Le système vérifie que la somme des sources est égale au montant de la dépense.</w:t>
            </w:r>
          </w:p>
          <w:p>
            <w:pPr>
              <w:spacing w:after="40"/>
            </w:pPr>
            <w:r>
              <w:rPr>
                <w:sz w:val="20"/>
                <w:szCs w:val="20"/>
              </w:rPr>
              <w:t xml:space="preserve">6. La validation est autorisée et les allocations sont enregistrées.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Aucune source, ou somme insuffisante : la validation est bloquée et le montant manquant reste affiché.</w:t>
            </w:r>
          </w:p>
          <w:p>
            <w:pPr>
              <w:pStyle w:val="ListParagraph"/>
              <w:numPr>
                <w:ilvl w:val="0"/>
                <w:numId w:val="2"/>
              </w:numPr>
              <w:spacing w:after="40"/>
            </w:pPr>
            <w:r>
              <w:rPr>
                <w:sz w:val="20"/>
                <w:szCs w:val="20"/>
              </w:rPr>
              <w:t xml:space="preserve">Somme supérieure au montant : le surplus est signalé et l’utilisateur choisit le traitement.</w:t>
            </w:r>
          </w:p>
          <w:p>
            <w:pPr>
              <w:pStyle w:val="ListParagraph"/>
              <w:numPr>
                <w:ilvl w:val="0"/>
                <w:numId w:val="2"/>
              </w:numPr>
              <w:spacing w:after="40"/>
            </w:pPr>
            <w:r>
              <w:rPr>
                <w:sz w:val="20"/>
                <w:szCs w:val="20"/>
              </w:rPr>
              <w:t xml:space="preserve">Source externe : elle est enregistrée selon sa véritable nature (un don est un revenu exceptionnel, un prêt est une dette, un transfert n’est pas un revenu).</w:t>
            </w:r>
          </w:p>
          <w:p>
            <w:pPr>
              <w:pStyle w:val="ListParagraph"/>
              <w:numPr>
                <w:ilvl w:val="0"/>
                <w:numId w:val="2"/>
              </w:numPr>
              <w:spacing w:after="40"/>
            </w:pPr>
            <w:r>
              <w:rPr>
                <w:sz w:val="20"/>
                <w:szCs w:val="20"/>
              </w:rPr>
              <w:t xml:space="preserve">Une source répartie entre plusieurs dépenses : allocations partielles, chacune tracée.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Les allocations sont liées à la dépense. Aucun fonds n’est réservé à l’avance : le disponible reflète uniquement les mouvements enregistrés.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RB-SF-001 à 007 ; V1.1 §5 ; EF-SF-001 à 005, 009, 011.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Exemple</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10 USD disponibles et une dépense de 20 USD : le manque est de 10 USD, la validation reste bloquée tant que 10 USD de source ne sont pas déclarés.</w:t>
            </w:r>
          </w:p>
        </w:tc>
      </w:tr>
    </w:tbl>
    <w:p>
      <w:pPr>
        <w:pStyle w:val="Heading2"/>
      </w:pPr>
      <w:r>
        <w:t xml:space="preserve">6.5 UC-015 — Enregistrer un transfert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Déplacer des fonds entre deux comptes de l’utilisateur sans créer ni revenu ni dépense.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Deux comptes actifs distincts existent.</w:t>
            </w:r>
          </w:p>
          <w:p>
            <w:pPr>
              <w:pStyle w:val="ListParagraph"/>
              <w:numPr>
                <w:ilvl w:val="0"/>
                <w:numId w:val="2"/>
              </w:numPr>
              <w:spacing w:after="40"/>
            </w:pPr>
            <w:r>
              <w:rPr>
                <w:sz w:val="20"/>
                <w:szCs w:val="20"/>
              </w:rPr>
              <w:t xml:space="preserve">Le compte source a des fonds suffisants.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choisit compte source, compte destination, montant et date.</w:t>
            </w:r>
          </w:p>
          <w:p>
            <w:pPr>
              <w:spacing w:after="40"/>
            </w:pPr>
            <w:r>
              <w:rPr>
                <w:sz w:val="20"/>
                <w:szCs w:val="20"/>
              </w:rPr>
              <w:t xml:space="preserve">2. Si les devises diffèrent, le cas « Convertir un montant » fournit un taux explicite et son sens.</w:t>
            </w:r>
          </w:p>
          <w:p>
            <w:pPr>
              <w:spacing w:after="40"/>
            </w:pPr>
            <w:r>
              <w:rPr>
                <w:sz w:val="20"/>
                <w:szCs w:val="20"/>
              </w:rPr>
              <w:t xml:space="preserve">3. Le système vérifie les fonds du compte source.</w:t>
            </w:r>
          </w:p>
          <w:p>
            <w:pPr>
              <w:spacing w:after="40"/>
            </w:pPr>
            <w:r>
              <w:rPr>
                <w:sz w:val="20"/>
                <w:szCs w:val="20"/>
              </w:rPr>
              <w:t xml:space="preserve">4. Débit et crédit sont validés ensemble, de façon atomique.</w:t>
            </w:r>
          </w:p>
          <w:p>
            <w:pPr>
              <w:spacing w:after="40"/>
            </w:pPr>
            <w:r>
              <w:rPr>
                <w:sz w:val="20"/>
                <w:szCs w:val="20"/>
              </w:rPr>
              <w:t xml:space="preserve">5. Les soldes sont recalculés ; le transfert reste exclu des revenus, des dépenses et des budgets de dépenses.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Fonds insuffisants : refus. Un transfert n’a pas de mécanisme de source complémentaire (hypothèse, voir P-09).</w:t>
            </w:r>
          </w:p>
          <w:p>
            <w:pPr>
              <w:pStyle w:val="ListParagraph"/>
              <w:numPr>
                <w:ilvl w:val="0"/>
                <w:numId w:val="2"/>
              </w:numPr>
              <w:spacing w:after="40"/>
            </w:pPr>
            <w:r>
              <w:rPr>
                <w:sz w:val="20"/>
                <w:szCs w:val="20"/>
              </w:rPr>
              <w:t xml:space="preserve">Échec d’un des deux côtés : aucun côté n’est appliqué.</w:t>
            </w:r>
          </w:p>
          <w:p>
            <w:pPr>
              <w:pStyle w:val="ListParagraph"/>
              <w:numPr>
                <w:ilvl w:val="0"/>
                <w:numId w:val="2"/>
              </w:numPr>
              <w:spacing w:after="40"/>
            </w:pPr>
            <w:r>
              <w:rPr>
                <w:sz w:val="20"/>
                <w:szCs w:val="20"/>
              </w:rPr>
              <w:t xml:space="preserve">Transfert vers un compte d’épargne : il est lié à l’opération d’épargne (cas « Contribuer à un objectif d’épargne »).</w:t>
            </w:r>
          </w:p>
          <w:p>
            <w:pPr>
              <w:pStyle w:val="ListParagraph"/>
              <w:numPr>
                <w:ilvl w:val="0"/>
                <w:numId w:val="2"/>
              </w:numPr>
              <w:spacing w:after="40"/>
            </w:pPr>
            <w:r>
              <w:rPr>
                <w:sz w:val="20"/>
                <w:szCs w:val="20"/>
              </w:rPr>
              <w:t xml:space="preserve">Doublon potentiel : le cas « Traiter un doublon potentiel » s’applique.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Deux mouvements liés existent ; la somme des soldes, convertis, ne change que par le taux appliqué.</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RB-TR-001 à 006, RB-SF-007 ; EF-TR-003, EF-TR-023.</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Exemple</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transfert de 100 USD entre deux comptes de l’utilisateur déplace les fonds sans augmenter les dépenses.</w:t>
            </w:r>
          </w:p>
        </w:tc>
      </w:tr>
    </w:tbl>
    <w:p>
      <w:pPr>
        <w:pStyle w:val="Heading2"/>
      </w:pPr>
      <w:r>
        <w:t xml:space="preserve">6.6 UC-017 — Enregistrer un remboursement de dépense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l’argent récupéré au titre d’une dépense.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La dépense d’origine est active.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sélectionne la dépense d’origine.</w:t>
            </w:r>
          </w:p>
          <w:p>
            <w:pPr>
              <w:spacing w:after="40"/>
            </w:pPr>
            <w:r>
              <w:rPr>
                <w:sz w:val="20"/>
                <w:szCs w:val="20"/>
              </w:rPr>
              <w:t xml:space="preserve">2. Il saisit montant, date et compte de destination.</w:t>
            </w:r>
          </w:p>
          <w:p>
            <w:pPr>
              <w:spacing w:after="40"/>
            </w:pPr>
            <w:r>
              <w:rPr>
                <w:sz w:val="20"/>
                <w:szCs w:val="20"/>
              </w:rPr>
              <w:t xml:space="preserve">3. Le système crée une opération distincte, liée à la dépense et identifiable comme remboursement.</w:t>
            </w:r>
          </w:p>
          <w:p>
            <w:pPr>
              <w:spacing w:after="40"/>
            </w:pPr>
            <w:r>
              <w:rPr>
                <w:sz w:val="20"/>
                <w:szCs w:val="20"/>
              </w:rPr>
              <w:t xml:space="preserve">4. Le système calcule remboursements cumulés, montant encore remboursable et dépense nette.</w:t>
            </w:r>
          </w:p>
          <w:p>
            <w:pPr>
              <w:spacing w:after="40"/>
            </w:pPr>
            <w:r>
              <w:rPr>
                <w:sz w:val="20"/>
                <w:szCs w:val="20"/>
              </w:rPr>
              <w:t xml:space="preserve">5. Le cas « Historiser et recalculer les effets » met à jour les indicateurs.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Remboursement supérieur à la dépense restante : le système demande de qualifier l’excédent ; il n’est pas classé automatiquement en revenu.</w:t>
            </w:r>
          </w:p>
          <w:p>
            <w:pPr>
              <w:pStyle w:val="ListParagraph"/>
              <w:numPr>
                <w:ilvl w:val="0"/>
                <w:numId w:val="2"/>
              </w:numPr>
              <w:spacing w:after="40"/>
            </w:pPr>
            <w:r>
              <w:rPr>
                <w:sz w:val="20"/>
                <w:szCs w:val="20"/>
              </w:rPr>
              <w:t xml:space="preserve">Remboursement seulement attendu : il n’est pas compté comme reçu tant qu’il n’est pas enregistré.</w:t>
            </w:r>
          </w:p>
          <w:p>
            <w:pPr>
              <w:pStyle w:val="ListParagraph"/>
              <w:numPr>
                <w:ilvl w:val="0"/>
                <w:numId w:val="2"/>
              </w:numPr>
              <w:spacing w:after="40"/>
            </w:pPr>
            <w:r>
              <w:rPr>
                <w:sz w:val="20"/>
                <w:szCs w:val="20"/>
              </w:rPr>
              <w:t xml:space="preserve">Dépense d’origine ensuite modifiée ou annulée : la chaîne est recalculée et l’excédent éventuel signalé.</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La dépense brute reste visible, la dépense nette est calculée, le remboursement n’est pas compté deux fois.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§5 ; EF-RF-001, EF-RF-002.</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Exemple</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Dépense de 100 avec un remboursement de 30 : dépense nette de 70.</w:t>
            </w:r>
          </w:p>
        </w:tc>
      </w:tr>
    </w:tbl>
    <w:p>
      <w:pPr>
        <w:pStyle w:val="Heading2"/>
      </w:pPr>
      <w:r>
        <w:t xml:space="preserve">6.7 UC-018 — Enregistrer une opération « À qualifier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Capturer rapidement une opération dont la nature n’est pas encore connue : de l’argent a bougé sur un compte, mais on ne sait pas encore pourquoi.</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Liée à</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compte (obligatoire), un montant, une devise et une date. Tant qu’elle n’est pas qualifiée, elle n’est liée à aucune catégorie, aucun budget, aucune dette ni aucun objectif d’épargne ; c’est la qualification qui crée ces liens.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Au moins un compte actif existe.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saisit les informations connues : montant, devise, date, compte, description.</w:t>
            </w:r>
          </w:p>
          <w:p>
            <w:pPr>
              <w:spacing w:after="40"/>
            </w:pPr>
            <w:r>
              <w:rPr>
                <w:sz w:val="20"/>
                <w:szCs w:val="20"/>
              </w:rPr>
              <w:t xml:space="preserve">2. Il indique que la nature est inconnue.</w:t>
            </w:r>
          </w:p>
          <w:p>
            <w:pPr>
              <w:spacing w:after="40"/>
            </w:pPr>
            <w:r>
              <w:rPr>
                <w:sz w:val="20"/>
                <w:szCs w:val="20"/>
              </w:rPr>
              <w:t xml:space="preserve">3. Le système enregistre l’opération avec le statut « À qualifier » sans lui attribuer de nature.</w:t>
            </w:r>
          </w:p>
          <w:p>
            <w:pPr>
              <w:spacing w:after="40"/>
            </w:pPr>
            <w:r>
              <w:rPr>
                <w:sz w:val="20"/>
                <w:szCs w:val="20"/>
              </w:rPr>
              <w:t xml:space="preserve">4. Le système distingue ces montants des montants confirmés dans les analyses.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Effet de l’opération sur le solde du compte : à trancher (P-04).</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L’opération apparaît dans la liste des opérations non résolues ; un rappel peut être proposé.</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§10 ; EF-TR-034, EF-TR-035.</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Exemple</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 virement de 25 USD arrive sur Airtel Money depuis un numéro inconnu : il est enregistré « À qualifier » sur ce compte. Plus tard, l’utilisateur apprend que c’est un ami qui rembourse un prêt : l’opération est qualifiée en remboursement de créance.</w:t>
            </w:r>
          </w:p>
        </w:tc>
      </w:tr>
    </w:tbl>
    <w:p>
      <w:pPr>
        <w:pStyle w:val="Heading2"/>
      </w:pPr>
      <w:r>
        <w:t xml:space="preserve">6.8 UC-019 — Qualifier une opération en attente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Donner une nature à une opération en attente.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L’opération est au statut « À qualifier ».</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sélectionne l’opération.</w:t>
            </w:r>
          </w:p>
          <w:p>
            <w:pPr>
              <w:spacing w:after="40"/>
            </w:pPr>
            <w:r>
              <w:rPr>
                <w:sz w:val="20"/>
                <w:szCs w:val="20"/>
              </w:rPr>
              <w:t xml:space="preserve">2. Il choisit la nature (revenu, dépense, transfert, remboursement, dette ou créance) et complète les champs propres à cette nature.</w:t>
            </w:r>
          </w:p>
          <w:p>
            <w:pPr>
              <w:spacing w:after="40"/>
            </w:pPr>
            <w:r>
              <w:rPr>
                <w:sz w:val="20"/>
                <w:szCs w:val="20"/>
              </w:rPr>
              <w:t xml:space="preserve">3. Il confirme.</w:t>
            </w:r>
          </w:p>
          <w:p>
            <w:pPr>
              <w:spacing w:after="40"/>
            </w:pPr>
            <w:r>
              <w:rPr>
                <w:sz w:val="20"/>
                <w:szCs w:val="20"/>
              </w:rPr>
              <w:t xml:space="preserve">4. Le cas « Historiser et recalculer les effets » met à jour soldes, revenus, dépenses, dettes, créances et indicateurs.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Nature « transfert » : le compte de contrepartie est demandé.</w:t>
            </w:r>
          </w:p>
          <w:p>
            <w:pPr>
              <w:pStyle w:val="ListParagraph"/>
              <w:numPr>
                <w:ilvl w:val="0"/>
                <w:numId w:val="2"/>
              </w:numPr>
              <w:spacing w:after="40"/>
            </w:pPr>
            <w:r>
              <w:rPr>
                <w:sz w:val="20"/>
                <w:szCs w:val="20"/>
              </w:rPr>
              <w:t xml:space="preserve">Nature « dette » ou « créance » : l’enregistrement correspondant est créé.</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L’opération est confirmée ; la qualification et ses effets sont historisés.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§10 ; EF-TR-035.</w:t>
            </w:r>
          </w:p>
        </w:tc>
      </w:tr>
    </w:tbl>
    <w:p>
      <w:pPr>
        <w:pStyle w:val="Heading2"/>
      </w:pPr>
      <w:r>
        <w:t xml:space="preserve">6.9 UC-020 — Traiter un doublon potentiel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Éviter les saisies en double sans jamais décider à la place de l’utilisateur, et les résoudre proprement quand elles existent.</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Une opération est en cours de validation.</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Le système cherche une opération de même type, sur le même compte, dans la même devise, de même montant et à une date identique ou proche (un jour d’écart par défaut, réglable).</w:t>
            </w:r>
          </w:p>
          <w:p>
            <w:pPr>
              <w:spacing w:after="40"/>
            </w:pPr>
            <w:r>
              <w:rPr>
                <w:sz w:val="20"/>
                <w:szCs w:val="20"/>
              </w:rPr>
              <w:t xml:space="preserve">2. En cas de ressemblance, il affiche l’opération similaire et un avertissement, plus marqué si la description est aussi similaire.</w:t>
            </w:r>
          </w:p>
          <w:p>
            <w:pPr>
              <w:spacing w:after="40"/>
            </w:pPr>
            <w:r>
              <w:rPr>
                <w:sz w:val="20"/>
                <w:szCs w:val="20"/>
              </w:rPr>
              <w:t xml:space="preserve">3. L’utilisateur choisit : « C’est légitime » ou « Fusionner ».</w:t>
            </w:r>
          </w:p>
          <w:p>
            <w:pPr>
              <w:spacing w:after="40"/>
            </w:pPr>
            <w:r>
              <w:rPr>
                <w:sz w:val="20"/>
                <w:szCs w:val="20"/>
              </w:rPr>
              <w:t xml:space="preserve">4. « C’est légitime » : l’opération est enregistrée et la décision est mémorisée pour cette paire, sans nouveau signalement.</w:t>
            </w:r>
          </w:p>
          <w:p>
            <w:pPr>
              <w:spacing w:after="40"/>
            </w:pPr>
            <w:r>
              <w:rPr>
                <w:sz w:val="20"/>
                <w:szCs w:val="20"/>
              </w:rPr>
              <w:t xml:space="preserve">5. « Fusionner » : l’opération d’origine est conservée, la nouvelle est annulée avec un lien « doublon de ». L’utilisateur peut reporter sur l’originale les informations complémentaires de la nouvelle (note, catégorie, nature, description). Le montant de l’originale n’est jamais modifié.</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Aucune ressemblance : le cas ne se déclenche pas.</w:t>
            </w:r>
          </w:p>
          <w:p>
            <w:pPr>
              <w:pStyle w:val="ListParagraph"/>
              <w:numPr>
                <w:ilvl w:val="0"/>
                <w:numId w:val="2"/>
              </w:numPr>
              <w:spacing w:after="40"/>
            </w:pPr>
            <w:r>
              <w:rPr>
                <w:sz w:val="20"/>
                <w:szCs w:val="20"/>
              </w:rPr>
              <w:t xml:space="preserve">Les deux côtés d’un même transfert et les paiements de prévisions distinctes ne sont pas comparés entre eux.</w:t>
            </w:r>
          </w:p>
          <w:p>
            <w:pPr>
              <w:pStyle w:val="ListParagraph"/>
              <w:numPr>
                <w:ilvl w:val="0"/>
                <w:numId w:val="2"/>
              </w:numPr>
              <w:spacing w:after="40"/>
            </w:pPr>
            <w:r>
              <w:rPr>
                <w:sz w:val="20"/>
                <w:szCs w:val="20"/>
              </w:rPr>
              <w:t xml:space="preserve">L’annulation de la nouvelle saisie suit le cas « Annuler une transaction » et reste tracée.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Aucune opération n’est annulée ni supprimée sans décision de l’utilisateur ; aucune information utile n’est perdue.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§9 ; V1.2 §12.3 ; EF-TR-036, EF-TR-038.</w:t>
            </w:r>
          </w:p>
        </w:tc>
      </w:tr>
    </w:tbl>
    <w:p>
      <w:pPr>
        <w:pStyle w:val="Heading2"/>
      </w:pPr>
      <w:r>
        <w:t xml:space="preserve">6.10 UC-024 — Modifier une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Corriger une opération (montant, date, compte, catégorie, devise) avec historique.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L’opération est active.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ouvre l’opération et modifie un ou plusieurs champs.</w:t>
            </w:r>
          </w:p>
          <w:p>
            <w:pPr>
              <w:spacing w:after="40"/>
            </w:pPr>
            <w:r>
              <w:rPr>
                <w:sz w:val="20"/>
                <w:szCs w:val="20"/>
              </w:rPr>
              <w:t xml:space="preserve">2. Le système compare anciennes et nouvelles valeurs et détecte les dépendances touchées (allocations, remboursements, budgets).</w:t>
            </w:r>
          </w:p>
          <w:p>
            <w:pPr>
              <w:spacing w:after="40"/>
            </w:pPr>
            <w:r>
              <w:rPr>
                <w:sz w:val="20"/>
                <w:szCs w:val="20"/>
              </w:rPr>
              <w:t xml:space="preserve">3. Pour un changement financier important, il demande confirmation.</w:t>
            </w:r>
          </w:p>
          <w:p>
            <w:pPr>
              <w:spacing w:after="40"/>
            </w:pPr>
            <w:r>
              <w:rPr>
                <w:sz w:val="20"/>
                <w:szCs w:val="20"/>
              </w:rPr>
              <w:t xml:space="preserve">4. Le système enregistre la modification avec ancienne valeur, nouvelle valeur, date/heure, nature et motif éventuel.</w:t>
            </w:r>
          </w:p>
          <w:p>
            <w:pPr>
              <w:spacing w:after="40"/>
            </w:pPr>
            <w:r>
              <w:rPr>
                <w:sz w:val="20"/>
                <w:szCs w:val="20"/>
              </w:rPr>
              <w:t xml:space="preserve">5. Le cas « Historiser et recalculer les effets » met à jour tous les calculs dépendants.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Nouveau montant supérieur aux sources affectées, ou source retirée : un déficit ou un surplus est détecté ; en cas d’ambiguïté, des choix sont proposés et la confirmation est requise.</w:t>
            </w:r>
          </w:p>
          <w:p>
            <w:pPr>
              <w:pStyle w:val="ListParagraph"/>
              <w:numPr>
                <w:ilvl w:val="0"/>
                <w:numId w:val="2"/>
              </w:numPr>
              <w:spacing w:after="40"/>
            </w:pPr>
            <w:r>
              <w:rPr>
                <w:sz w:val="20"/>
                <w:szCs w:val="20"/>
              </w:rPr>
              <w:t xml:space="preserve">Modification de la seule qualification : voir « Qualifier une dépense », aucun montant ne change.</w:t>
            </w:r>
          </w:p>
          <w:p>
            <w:pPr>
              <w:pStyle w:val="ListParagraph"/>
              <w:numPr>
                <w:ilvl w:val="0"/>
                <w:numId w:val="2"/>
              </w:numPr>
              <w:spacing w:after="40"/>
            </w:pPr>
            <w:r>
              <w:rPr>
                <w:sz w:val="20"/>
                <w:szCs w:val="20"/>
              </w:rPr>
              <w:t xml:space="preserve">Opération annulée : non modifiable.</w:t>
            </w:r>
          </w:p>
          <w:p>
            <w:pPr>
              <w:pStyle w:val="ListParagraph"/>
              <w:numPr>
                <w:ilvl w:val="0"/>
                <w:numId w:val="2"/>
              </w:numPr>
              <w:spacing w:after="40"/>
            </w:pPr>
            <w:r>
              <w:rPr>
                <w:sz w:val="20"/>
                <w:szCs w:val="20"/>
              </w:rPr>
              <w:t xml:space="preserve">Échec du recalcul : aucune modification n’est appliquée.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L’opération reflète les nouvelles valeurs ; l’ancienne version reste consultable dans l’historique.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RB-IN-002 ; V1.1 §4 ; EF-TR-006.</w:t>
            </w:r>
          </w:p>
        </w:tc>
      </w:tr>
    </w:tbl>
    <w:p>
      <w:pPr>
        <w:pStyle w:val="Heading2"/>
      </w:pPr>
      <w:r>
        <w:t xml:space="preserve">6.11 UC-025 — Annuler une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Retirer l’effet financier d’une opération en conservant sa trace.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L’opération est active.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sélectionne l’opération à annuler.</w:t>
            </w:r>
          </w:p>
          <w:p>
            <w:pPr>
              <w:spacing w:after="40"/>
            </w:pPr>
            <w:r>
              <w:rPr>
                <w:sz w:val="20"/>
                <w:szCs w:val="20"/>
              </w:rPr>
              <w:t xml:space="preserve">2. Le système identifie les opérations dépendantes (remboursements liés, allocations de financement, prévisions, contributions d’épargne) et affiche les conséquences.</w:t>
            </w:r>
          </w:p>
          <w:p>
            <w:pPr>
              <w:spacing w:after="40"/>
            </w:pPr>
            <w:r>
              <w:rPr>
                <w:sz w:val="20"/>
                <w:szCs w:val="20"/>
              </w:rPr>
              <w:t xml:space="preserve">3. L’utilisateur saisit un motif facultatif et confirme.</w:t>
            </w:r>
          </w:p>
          <w:p>
            <w:pPr>
              <w:spacing w:after="40"/>
            </w:pPr>
            <w:r>
              <w:rPr>
                <w:sz w:val="20"/>
                <w:szCs w:val="20"/>
              </w:rPr>
              <w:t xml:space="preserve">4. Le système marque l’opération comme annulée et crée l’événement d’historique.</w:t>
            </w:r>
          </w:p>
          <w:p>
            <w:pPr>
              <w:spacing w:after="40"/>
            </w:pPr>
            <w:r>
              <w:rPr>
                <w:sz w:val="20"/>
                <w:szCs w:val="20"/>
              </w:rPr>
              <w:t xml:space="preserve">5. Le cas « Historiser et recalculer les effets » met à jour soldes, budgets, dettes, créances, épargne, alertes et analyses.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Plusieurs traitements possibles pour une opération dépendante : le système propose des choix et l’utilisateur décide.</w:t>
            </w:r>
          </w:p>
          <w:p>
            <w:pPr>
              <w:pStyle w:val="ListParagraph"/>
              <w:numPr>
                <w:ilvl w:val="0"/>
                <w:numId w:val="2"/>
              </w:numPr>
              <w:spacing w:after="40"/>
            </w:pPr>
            <w:r>
              <w:rPr>
                <w:sz w:val="20"/>
                <w:szCs w:val="20"/>
              </w:rPr>
              <w:t xml:space="preserve">Remboursement devenu supérieur à la dépense restante : l’excédent est signalé et l’utilisateur le qualifie ; il n’est jamais transformé automatiquement en revenu.</w:t>
            </w:r>
          </w:p>
          <w:p>
            <w:pPr>
              <w:pStyle w:val="ListParagraph"/>
              <w:numPr>
                <w:ilvl w:val="0"/>
                <w:numId w:val="2"/>
              </w:numPr>
              <w:spacing w:after="40"/>
            </w:pPr>
            <w:r>
              <w:rPr>
                <w:sz w:val="20"/>
                <w:szCs w:val="20"/>
              </w:rPr>
              <w:t xml:space="preserve">Annulation d’un transfert : les deux côtés sont annulés ensemble.</w:t>
            </w:r>
          </w:p>
          <w:p>
            <w:pPr>
              <w:pStyle w:val="ListParagraph"/>
              <w:numPr>
                <w:ilvl w:val="0"/>
                <w:numId w:val="2"/>
              </w:numPr>
              <w:spacing w:after="40"/>
            </w:pPr>
            <w:r>
              <w:rPr>
                <w:sz w:val="20"/>
                <w:szCs w:val="20"/>
              </w:rPr>
              <w:t xml:space="preserve">Opération déjà annulée : refus.</w:t>
            </w:r>
          </w:p>
          <w:p>
            <w:pPr>
              <w:pStyle w:val="ListParagraph"/>
              <w:numPr>
                <w:ilvl w:val="0"/>
                <w:numId w:val="2"/>
              </w:numPr>
              <w:spacing w:after="40"/>
            </w:pPr>
            <w:r>
              <w:rPr>
                <w:sz w:val="20"/>
                <w:szCs w:val="20"/>
              </w:rPr>
              <w:t xml:space="preserve">Transformation non ambiguë : appliquée automatiquement, avec lien causal conservé.</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L’opération reste consultable mais n’est plus comptée comme active ; chaque opération affectée garde un lien vers l’opération déclenchante.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RB-IN-001 à 003 ; V1.1 §3, §4, §5 ; EF-TR-007, EF-TR-033, EF-RF-002.</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Exemple</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Dépense de 100 avec remboursement de 30 : annuler la dépense laisse un remboursement de 30 sans dépense à rembourser ; l’excédent de 30 est à qualifier.</w:t>
            </w:r>
          </w:p>
        </w:tc>
      </w:tr>
    </w:tbl>
    <w:p>
      <w:pPr>
        <w:pStyle w:val="Heading2"/>
      </w:pPr>
      <w:r>
        <w:t xml:space="preserve">6.12 UC-026 — Réaffecter les sources de financement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Remplacer ou ajuster les sources qui financent une dépense.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La dépense est active et possède au moins une allocation.</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sélectionne la dépense et consulte la répartition actuelle.</w:t>
            </w:r>
          </w:p>
          <w:p>
            <w:pPr>
              <w:spacing w:after="40"/>
            </w:pPr>
            <w:r>
              <w:rPr>
                <w:sz w:val="20"/>
                <w:szCs w:val="20"/>
              </w:rPr>
              <w:t xml:space="preserve">2. Il propose une nouvelle répartition.</w:t>
            </w:r>
          </w:p>
          <w:p>
            <w:pPr>
              <w:spacing w:after="40"/>
            </w:pPr>
            <w:r>
              <w:rPr>
                <w:sz w:val="20"/>
                <w:szCs w:val="20"/>
              </w:rPr>
              <w:t xml:space="preserve">3. Le système vérifie la disponibilité de la nouvelle source et contrôle les dépendances.</w:t>
            </w:r>
          </w:p>
          <w:p>
            <w:pPr>
              <w:spacing w:after="40"/>
            </w:pPr>
            <w:r>
              <w:rPr>
                <w:sz w:val="20"/>
                <w:szCs w:val="20"/>
              </w:rPr>
              <w:t xml:space="preserve">4. L’utilisateur confirme.</w:t>
            </w:r>
          </w:p>
          <w:p>
            <w:pPr>
              <w:spacing w:after="40"/>
            </w:pPr>
            <w:r>
              <w:rPr>
                <w:sz w:val="20"/>
                <w:szCs w:val="20"/>
              </w:rPr>
              <w:t xml:space="preserve">5. Le système remplace l’allocation de façon atomique, enregistre l’ancienne et la nouvelle répartition, l’heure, le motif, la cause et les opérations affectées, puis recalcule.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Nouvelle source insuffisante : rien n’est appliqué.</w:t>
            </w:r>
          </w:p>
          <w:p>
            <w:pPr>
              <w:pStyle w:val="ListParagraph"/>
              <w:numPr>
                <w:ilvl w:val="0"/>
                <w:numId w:val="2"/>
              </w:numPr>
              <w:spacing w:after="40"/>
            </w:pPr>
            <w:r>
              <w:rPr>
                <w:sz w:val="20"/>
                <w:szCs w:val="20"/>
              </w:rPr>
              <w:t xml:space="preserve">Déficit ou surplus ambigu : le système propose des choix ; la réaffectation ne se fait jamais sans accord.</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La nouvelle répartition est active ; l’ancienne est consultable.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§5 ; EF-SF-010.</w:t>
            </w:r>
          </w:p>
        </w:tc>
      </w:tr>
    </w:tbl>
    <w:p>
      <w:pPr>
        <w:pStyle w:val="Heading2"/>
      </w:pPr>
      <w:r>
        <w:t xml:space="preserve">6.13 UC-027 — Historiser et recalculer les effets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Aucun (cas inclus)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Après toute modification ou annulation, conserver la trace et recalculer toutes les conséquences.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Une opération vient d’être modifiée, annulée, requalifiée ou réaffectée.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Le système enregistre l’événement : ancienne valeur, nouvelle valeur, date/heure, nature, motif et cause.</w:t>
            </w:r>
          </w:p>
          <w:p>
            <w:pPr>
              <w:spacing w:after="40"/>
            </w:pPr>
            <w:r>
              <w:rPr>
                <w:sz w:val="20"/>
                <w:szCs w:val="20"/>
              </w:rPr>
              <w:t xml:space="preserve">2. Il identifie les opérations dépendantes grâce aux liens causaux.</w:t>
            </w:r>
          </w:p>
          <w:p>
            <w:pPr>
              <w:spacing w:after="40"/>
            </w:pPr>
            <w:r>
              <w:rPr>
                <w:sz w:val="20"/>
                <w:szCs w:val="20"/>
              </w:rPr>
              <w:t xml:space="preserve">3. Il applique les transformations non ambiguës ; il soumet les autres à l’utilisateur.</w:t>
            </w:r>
          </w:p>
          <w:p>
            <w:pPr>
              <w:spacing w:after="40"/>
            </w:pPr>
            <w:r>
              <w:rPr>
                <w:sz w:val="20"/>
                <w:szCs w:val="20"/>
              </w:rPr>
              <w:t xml:space="preserve">4. Il recalcule soldes, budgets, revenus, dépenses, dettes, créances, épargne, statistiques, alertes et analyses.</w:t>
            </w:r>
          </w:p>
          <w:p>
            <w:pPr>
              <w:spacing w:after="40"/>
            </w:pPr>
            <w:r>
              <w:rPr>
                <w:sz w:val="20"/>
                <w:szCs w:val="20"/>
              </w:rPr>
              <w:t xml:space="preserve">5. Il conserve un lien causal entre l’opération déclenchante et chaque opération affectée.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Échec à une étape : tout est annulé, aucun état partiellement appliqué.</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L’historique des événements et la situation corrigée sont consultables séparément.</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RB-IN-001 à 006 ; V1.1 §4 ; EF-TR-033, EF-TR-037.</w:t>
            </w:r>
          </w:p>
        </w:tc>
      </w:tr>
    </w:tbl>
    <w:p>
      <w:pPr>
        <w:pStyle w:val="Heading2"/>
      </w:pPr>
      <w:r>
        <w:t xml:space="preserve">6.14 UC-032 — Contribuer à un objectif d’épargne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Mettre de l’argent de côté dans un compte d’épargne réel.</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Un objectif existe avec son compte d’épargne actif.</w:t>
            </w:r>
          </w:p>
          <w:p>
            <w:pPr>
              <w:pStyle w:val="ListParagraph"/>
              <w:numPr>
                <w:ilvl w:val="0"/>
                <w:numId w:val="2"/>
              </w:numPr>
              <w:spacing w:after="40"/>
            </w:pPr>
            <w:r>
              <w:rPr>
                <w:sz w:val="20"/>
                <w:szCs w:val="20"/>
              </w:rPr>
              <w:t xml:space="preserve">Les fonds disponibles du compte source sont suffisants.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choisit l’objectif, le compte source, le montant et la date.</w:t>
            </w:r>
          </w:p>
          <w:p>
            <w:pPr>
              <w:spacing w:after="40"/>
            </w:pPr>
            <w:r>
              <w:rPr>
                <w:sz w:val="20"/>
                <w:szCs w:val="20"/>
              </w:rPr>
              <w:t xml:space="preserve">2. Le cas « Enregistrer un transfert » déplace les fonds vers le compte d’épargne, le transfert étant lié à l’opération d’épargne.</w:t>
            </w:r>
          </w:p>
          <w:p>
            <w:pPr>
              <w:spacing w:after="40"/>
            </w:pPr>
            <w:r>
              <w:rPr>
                <w:sz w:val="20"/>
                <w:szCs w:val="20"/>
              </w:rPr>
              <w:t xml:space="preserve">3. Le disponible diminue, l’épargne augmente, le patrimoine ne change pas.</w:t>
            </w:r>
          </w:p>
          <w:p>
            <w:pPr>
              <w:spacing w:after="40"/>
            </w:pPr>
            <w:r>
              <w:rPr>
                <w:sz w:val="20"/>
                <w:szCs w:val="20"/>
              </w:rPr>
              <w:t xml:space="preserve">4. Progression et montant restant de l’objectif sont recalculés.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Montant qui dépasse la cible : accepté, la cible n’est pas un plafond.</w:t>
            </w:r>
          </w:p>
          <w:p>
            <w:pPr>
              <w:pStyle w:val="ListParagraph"/>
              <w:numPr>
                <w:ilvl w:val="0"/>
                <w:numId w:val="2"/>
              </w:numPr>
              <w:spacing w:after="40"/>
            </w:pPr>
            <w:r>
              <w:rPr>
                <w:sz w:val="20"/>
                <w:szCs w:val="20"/>
              </w:rPr>
              <w:t xml:space="preserve">Devises différentes : conversion avec taux identifié.</w:t>
            </w:r>
          </w:p>
          <w:p>
            <w:pPr>
              <w:pStyle w:val="ListParagraph"/>
              <w:numPr>
                <w:ilvl w:val="0"/>
                <w:numId w:val="2"/>
              </w:numPr>
              <w:spacing w:after="40"/>
            </w:pPr>
            <w:r>
              <w:rPr>
                <w:sz w:val="20"/>
                <w:szCs w:val="20"/>
              </w:rPr>
              <w:t xml:space="preserve">Fonds insuffisants : refus.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La contribution figure dans l’historique de l’objectif ; elle n’apparaît pas comme dépense de consommation.</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RB-EP-001 à 008 ; EF-EP-002, 006, 009, 014.</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Exemple</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500 USD reçus et 100 USD épargnés : 400 USD restent disponibles, 100 USD restent dans le patrimoine.</w:t>
            </w:r>
          </w:p>
        </w:tc>
      </w:tr>
    </w:tbl>
    <w:p>
      <w:pPr>
        <w:pStyle w:val="Heading2"/>
      </w:pPr>
      <w:r>
        <w:t xml:space="preserve">6.15 UC-033 — Retirer de l’épargne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Ramener des fonds de l’épargne vers l’argent disponible.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Le compte d’épargne a un solde suffisant.</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choisit le compte d’épargne, le compte de destination, le montant et la date.</w:t>
            </w:r>
          </w:p>
          <w:p>
            <w:pPr>
              <w:spacing w:after="40"/>
            </w:pPr>
            <w:r>
              <w:rPr>
                <w:sz w:val="20"/>
                <w:szCs w:val="20"/>
              </w:rPr>
              <w:t xml:space="preserve">2. Le cas « Enregistrer un transfert » déplace les fonds.</w:t>
            </w:r>
          </w:p>
          <w:p>
            <w:pPr>
              <w:spacing w:after="40"/>
            </w:pPr>
            <w:r>
              <w:rPr>
                <w:sz w:val="20"/>
                <w:szCs w:val="20"/>
              </w:rPr>
              <w:t xml:space="preserve">3. L’épargne diminue, le disponible augmente, le patrimoine ne change pas.</w:t>
            </w:r>
          </w:p>
          <w:p>
            <w:pPr>
              <w:spacing w:after="40"/>
            </w:pPr>
            <w:r>
              <w:rPr>
                <w:sz w:val="20"/>
                <w:szCs w:val="20"/>
              </w:rPr>
              <w:t xml:space="preserve">4. L’objectif est recalculé.</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Solde d’épargne insuffisant : refus.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Le retrait est historisé et n’est pas compté comme revenu.</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§11 ; EF-EP-016.</w:t>
            </w:r>
          </w:p>
        </w:tc>
      </w:tr>
    </w:tbl>
    <w:p>
      <w:pPr>
        <w:pStyle w:val="Heading2"/>
      </w:pPr>
      <w:r>
        <w:t xml:space="preserve">6.16 UC-035 — Enregistrer une dette ou un prêt reçu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Constater une somme due à un tiers, notamment un prêt reçu.</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Au moins un compte actif existe si des fonds sont reçus.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saisit le tiers, le montant, la devise, la date, une échéance facultative et le compte de réception.</w:t>
            </w:r>
          </w:p>
          <w:p>
            <w:pPr>
              <w:spacing w:after="40"/>
            </w:pPr>
            <w:r>
              <w:rPr>
                <w:sz w:val="20"/>
                <w:szCs w:val="20"/>
              </w:rPr>
              <w:t xml:space="preserve">2. Le système crée la dette (montant initial égal au montant restant).</w:t>
            </w:r>
          </w:p>
          <w:p>
            <w:pPr>
              <w:spacing w:after="40"/>
            </w:pPr>
            <w:r>
              <w:rPr>
                <w:sz w:val="20"/>
                <w:szCs w:val="20"/>
              </w:rPr>
              <w:t xml:space="preserve">3. Le système crédite le compte, l’entrée étant identifiée comme prêt reçu et exclue des revenus.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Dette sans mouvement de fonds (dette ancienne, achat à crédit) : à trancher (P-06).</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La dette est ouverte, le compte est crédité, aucun revenu n’est enregistré.</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RB-DC-001, 003, 008, RB-SF-006 ; EF-DE-001, EF-SF-006.</w:t>
            </w:r>
          </w:p>
        </w:tc>
      </w:tr>
    </w:tbl>
    <w:p>
      <w:pPr>
        <w:pStyle w:val="Heading2"/>
      </w:pPr>
      <w:r>
        <w:t xml:space="preserve">6.17 UC-037 — Enregistrer le remboursement d’une créance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un remboursement partiel ou total reçu sur une créance.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La créance est ouverte.</w:t>
            </w:r>
          </w:p>
          <w:p>
            <w:pPr>
              <w:pStyle w:val="ListParagraph"/>
              <w:numPr>
                <w:ilvl w:val="0"/>
                <w:numId w:val="2"/>
              </w:numPr>
              <w:spacing w:after="40"/>
            </w:pPr>
            <w:r>
              <w:rPr>
                <w:sz w:val="20"/>
                <w:szCs w:val="20"/>
              </w:rPr>
              <w:t xml:space="preserve">Un compte actif de destination existe.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sélectionne la créance.</w:t>
            </w:r>
          </w:p>
          <w:p>
            <w:pPr>
              <w:spacing w:after="40"/>
            </w:pPr>
            <w:r>
              <w:rPr>
                <w:sz w:val="20"/>
                <w:szCs w:val="20"/>
              </w:rPr>
              <w:t xml:space="preserve">2. Il saisit montant, date et compte de destination.</w:t>
            </w:r>
          </w:p>
          <w:p>
            <w:pPr>
              <w:spacing w:after="40"/>
            </w:pPr>
            <w:r>
              <w:rPr>
                <w:sz w:val="20"/>
                <w:szCs w:val="20"/>
              </w:rPr>
              <w:t xml:space="preserve">3. Le système crée atomiquement l’entrée dans le compte choisi, identifiée comme remboursement et liée à la créance, et diminue le montant restant.</w:t>
            </w:r>
          </w:p>
          <w:p>
            <w:pPr>
              <w:spacing w:after="40"/>
            </w:pPr>
            <w:r>
              <w:rPr>
                <w:sz w:val="20"/>
                <w:szCs w:val="20"/>
              </w:rPr>
              <w:t xml:space="preserve">4. Si le montant restant est nul, la créance passe au statut SOLDÉE.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Montant supérieur au restant : le montant appliqué à la créance ne dépasse jamais le restant. Le système signale l’excédent et demande de corriger le montant ou de qualifier l’excédent (revenu exceptionnel ou autre nature ; « À qualifier » à partir du lot 3). Il n’est jamais classé automatiquement en revenu. Raison : l’argent est bien entré dans le compte, il doit être expliqué.</w:t>
            </w:r>
          </w:p>
          <w:p>
            <w:pPr>
              <w:pStyle w:val="ListParagraph"/>
              <w:numPr>
                <w:ilvl w:val="0"/>
                <w:numId w:val="2"/>
              </w:numPr>
              <w:spacing w:after="40"/>
            </w:pPr>
            <w:r>
              <w:rPr>
                <w:sz w:val="20"/>
                <w:szCs w:val="20"/>
              </w:rPr>
              <w:t xml:space="preserve">Devise du compte différente de celle de la créance : le restant reste dans la devise de la créance ; le paiement est converti au taux de l’opération (taux courant proposé, modifiable), avec devise source, devise cible, montant converti, taux et sens conservés. Aucun gain ou perte de change n’est enregistré automatiquement.</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Le restant est recalculé (montant initial moins remboursements validés) et l’entrée reste identifiable comme remboursement, distincte d’un revenu professionnel.</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RB-DC-004 à 007, RB-RE-004 ; V1.2 §12.2 ; EF-DE-003 à 009, 012, 013.</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Exemple</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Créance de 100 USD remboursée de 40 USD : entrée de 40 USD dans le compte choisi, 60 USD restants. Si 110 USD sont reçus, 100 USD soldent la créance et les 10 USD d’excédent doivent être qualifiés.</w:t>
            </w:r>
          </w:p>
        </w:tc>
      </w:tr>
    </w:tbl>
    <w:p>
      <w:pPr>
        <w:pStyle w:val="Heading2"/>
      </w:pPr>
      <w:r>
        <w:t xml:space="preserve">6.18 UC-038 — Rembourser une dette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Enregistrer un paiement fait à un créancier sur une dette.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La dette est ouverte.</w:t>
            </w:r>
          </w:p>
          <w:p>
            <w:pPr>
              <w:pStyle w:val="ListParagraph"/>
              <w:numPr>
                <w:ilvl w:val="0"/>
                <w:numId w:val="2"/>
              </w:numPr>
              <w:spacing w:after="40"/>
            </w:pPr>
            <w:r>
              <w:rPr>
                <w:sz w:val="20"/>
                <w:szCs w:val="20"/>
              </w:rPr>
              <w:t xml:space="preserve">Un compte actif existe avec des fonds suffisants.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sélectionne la dette.</w:t>
            </w:r>
          </w:p>
          <w:p>
            <w:pPr>
              <w:spacing w:after="40"/>
            </w:pPr>
            <w:r>
              <w:rPr>
                <w:sz w:val="20"/>
                <w:szCs w:val="20"/>
              </w:rPr>
              <w:t xml:space="preserve">2. Il saisit montant, date et compte de paiement.</w:t>
            </w:r>
          </w:p>
          <w:p>
            <w:pPr>
              <w:spacing w:after="40"/>
            </w:pPr>
            <w:r>
              <w:rPr>
                <w:sz w:val="20"/>
                <w:szCs w:val="20"/>
              </w:rPr>
              <w:t xml:space="preserve">3. Le système vérifie les fonds du compte.</w:t>
            </w:r>
          </w:p>
          <w:p>
            <w:pPr>
              <w:spacing w:after="40"/>
            </w:pPr>
            <w:r>
              <w:rPr>
                <w:sz w:val="20"/>
                <w:szCs w:val="20"/>
              </w:rPr>
              <w:t xml:space="preserve">4. Le système crée une sortie liée à la dette et diminue le montant restant ; à zéro, la dette passe au statut SOLDÉE.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Montant supérieur au restant : le montant appliqué à la dette ne dépasse jamais le restant. Le système signale l’excédent et demande de corriger le montant ou de qualifier l’excédent : dépense (frais, intérêts) ou créance sur le même tiers (trop-payé). Les intérêts ne sont pas gérés comme tels.</w:t>
            </w:r>
          </w:p>
          <w:p>
            <w:pPr>
              <w:pStyle w:val="ListParagraph"/>
              <w:numPr>
                <w:ilvl w:val="0"/>
                <w:numId w:val="2"/>
              </w:numPr>
              <w:spacing w:after="40"/>
            </w:pPr>
            <w:r>
              <w:rPr>
                <w:sz w:val="20"/>
                <w:szCs w:val="20"/>
              </w:rPr>
              <w:t xml:space="preserve">Devise du compte différente de celle de la dette : même règle que pour une créance, restant tenu dans la devise d’origine, conversion au taux de l’opération.</w:t>
            </w:r>
          </w:p>
          <w:p>
            <w:pPr>
              <w:pStyle w:val="ListParagraph"/>
              <w:numPr>
                <w:ilvl w:val="0"/>
                <w:numId w:val="2"/>
              </w:numPr>
              <w:spacing w:after="40"/>
            </w:pPr>
            <w:r>
              <w:rPr>
                <w:sz w:val="20"/>
                <w:szCs w:val="20"/>
              </w:rPr>
              <w:t xml:space="preserve">Fonds insuffisants : refus, même hypothèse que pour les transferts (P-09).</w:t>
            </w:r>
          </w:p>
          <w:p>
            <w:pPr>
              <w:pStyle w:val="ListParagraph"/>
              <w:numPr>
                <w:ilvl w:val="0"/>
                <w:numId w:val="2"/>
              </w:numPr>
              <w:spacing w:after="40"/>
            </w:pPr>
            <w:r>
              <w:rPr>
                <w:sz w:val="20"/>
                <w:szCs w:val="20"/>
              </w:rPr>
              <w:t xml:space="preserve">Le remboursement du principal compte-t-il comme dépense dans les analyses ? À trancher (P-11).</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Le restant est recalculé ; la sortie est liée à la dette.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RB-DC-003, 004, 006, 007 ; V1.2 §12.2 ; EF-DE-003 à 005, 008, 011, 012, 013.</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Exemple</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Dette de 200 USD remboursée de 50 USD : sortie de 50 USD, restant de 150 USD.</w:t>
            </w:r>
          </w:p>
        </w:tc>
      </w:tr>
    </w:tbl>
    <w:p>
      <w:pPr>
        <w:pStyle w:val="Heading2"/>
      </w:pPr>
      <w:r>
        <w:t xml:space="preserve">6.19 UC-049 — Réaliser une prévision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Transformer une prévision en dépense réelle, après confirmation.</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La prévision est à l’état Prévue, Reportée ou En retard.</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sélectionne la prévision (ou accepte la proposition de liaison lors d’une saisie manuelle).</w:t>
            </w:r>
          </w:p>
          <w:p>
            <w:pPr>
              <w:spacing w:after="40"/>
            </w:pPr>
            <w:r>
              <w:rPr>
                <w:sz w:val="20"/>
                <w:szCs w:val="20"/>
              </w:rPr>
              <w:t xml:space="preserve">2. Il confirme montant, devise, date et compte réels.</w:t>
            </w:r>
          </w:p>
          <w:p>
            <w:pPr>
              <w:spacing w:after="40"/>
            </w:pPr>
            <w:r>
              <w:rPr>
                <w:sz w:val="20"/>
                <w:szCs w:val="20"/>
              </w:rPr>
              <w:t xml:space="preserve">3. Le cas « Enregistrer une dépense » crée la dépense, avec contrôle des fonds.</w:t>
            </w:r>
          </w:p>
          <w:p>
            <w:pPr>
              <w:spacing w:after="40"/>
            </w:pPr>
            <w:r>
              <w:rPr>
                <w:sz w:val="20"/>
                <w:szCs w:val="20"/>
              </w:rPr>
              <w:t xml:space="preserve">4. Le système lie la dépense à la prévision et calcule le montant restant ; à zéro, la prévision passe à Réalisée.</w:t>
            </w:r>
          </w:p>
          <w:p>
            <w:pPr>
              <w:spacing w:after="40"/>
            </w:pPr>
            <w:r>
              <w:rPr>
                <w:sz w:val="20"/>
                <w:szCs w:val="20"/>
              </w:rPr>
              <w:t xml:space="preserve">5. L’écart entre prévu et réel est signalé.</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Paiement partiel : la prévision reste ouverte avec son montant restant.</w:t>
            </w:r>
          </w:p>
          <w:p>
            <w:pPr>
              <w:pStyle w:val="ListParagraph"/>
              <w:numPr>
                <w:ilvl w:val="0"/>
                <w:numId w:val="2"/>
              </w:numPr>
              <w:spacing w:after="40"/>
            </w:pPr>
            <w:r>
              <w:rPr>
                <w:sz w:val="20"/>
                <w:szCs w:val="20"/>
              </w:rPr>
              <w:t xml:space="preserve">Réel supérieur au prévu : l’écart est signalé et l’utilisateur décide du surplus.</w:t>
            </w:r>
          </w:p>
          <w:p>
            <w:pPr>
              <w:pStyle w:val="ListParagraph"/>
              <w:numPr>
                <w:ilvl w:val="0"/>
                <w:numId w:val="2"/>
              </w:numPr>
              <w:spacing w:after="40"/>
            </w:pPr>
            <w:r>
              <w:rPr>
                <w:sz w:val="20"/>
                <w:szCs w:val="20"/>
              </w:rPr>
              <w:t xml:space="preserve">Réel inférieur au prévu : l’écart favorable n’est pas un revenu ; l’utilisateur décide s’il modifie prévisions futures ou budgets.</w:t>
            </w:r>
          </w:p>
          <w:p>
            <w:pPr>
              <w:pStyle w:val="ListParagraph"/>
              <w:numPr>
                <w:ilvl w:val="0"/>
                <w:numId w:val="2"/>
              </w:numPr>
              <w:spacing w:after="40"/>
            </w:pPr>
            <w:r>
              <w:rPr>
                <w:sz w:val="20"/>
                <w:szCs w:val="20"/>
              </w:rPr>
              <w:t xml:space="preserve">Devise différente de la prévision : le montant et la devise réellement débités font foi.</w:t>
            </w:r>
          </w:p>
          <w:p>
            <w:pPr>
              <w:pStyle w:val="ListParagraph"/>
              <w:numPr>
                <w:ilvl w:val="0"/>
                <w:numId w:val="2"/>
              </w:numPr>
              <w:spacing w:after="40"/>
            </w:pPr>
            <w:r>
              <w:rPr>
                <w:sz w:val="20"/>
                <w:szCs w:val="20"/>
              </w:rPr>
              <w:t xml:space="preserve">Une dépense répartie entre plusieurs prévisions reste une seule dépense.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Aucun double comptage : la prévision ne pèse sur les soldes qu’à travers la dépense réelle liée.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§6, §7, §8 ; EF-PV-002 à 004, 007, 008.</w:t>
            </w:r>
          </w:p>
        </w:tc>
      </w:tr>
    </w:tbl>
    <w:p>
      <w:pPr>
        <w:pStyle w:val="Heading2"/>
      </w:pPr>
      <w:r>
        <w:t xml:space="preserve">6.20 UC-058 — Restaurer une sauvegarde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Rétablir les données à partir d’une sauvegarde sans casser leur cohérence.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Au moins une sauvegarde existe.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ouvre la liste des sauvegardes et en choisit une.</w:t>
            </w:r>
          </w:p>
          <w:p>
            <w:pPr>
              <w:spacing w:after="40"/>
            </w:pPr>
            <w:r>
              <w:rPr>
                <w:sz w:val="20"/>
                <w:szCs w:val="20"/>
              </w:rPr>
              <w:t xml:space="preserve">2. Le système contrôle l’intégrité de la sauvegarde si possible.</w:t>
            </w:r>
          </w:p>
          <w:p>
            <w:pPr>
              <w:spacing w:after="40"/>
            </w:pPr>
            <w:r>
              <w:rPr>
                <w:sz w:val="20"/>
                <w:szCs w:val="20"/>
              </w:rPr>
              <w:t xml:space="preserve">3. Le système avertit que les données actuelles seront remplacées et demande une confirmation explicite.</w:t>
            </w:r>
          </w:p>
          <w:p>
            <w:pPr>
              <w:spacing w:after="40"/>
            </w:pPr>
            <w:r>
              <w:rPr>
                <w:sz w:val="20"/>
                <w:szCs w:val="20"/>
              </w:rPr>
              <w:t xml:space="preserve">4. La restauration est appliquée de façon atomique, en préservant les relations entre comptes, transactions, catégories, budgets, objectifs, dettes et liens entre opérations.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Sauvegarde corrompue ou incohérente : refus, les données actuelles restent intactes.</w:t>
            </w:r>
          </w:p>
          <w:p>
            <w:pPr>
              <w:pStyle w:val="ListParagraph"/>
              <w:numPr>
                <w:ilvl w:val="0"/>
                <w:numId w:val="2"/>
              </w:numPr>
              <w:spacing w:after="40"/>
            </w:pPr>
            <w:r>
              <w:rPr>
                <w:sz w:val="20"/>
                <w:szCs w:val="20"/>
              </w:rPr>
              <w:t xml:space="preserve">Sauvegarde de sécurité de l’état actuel avant remplacement : proposition à valider (P-08).</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La base correspond à la sauvegarde choisie et ses contrôles d’intégrité sont passés.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V1.1 §3 ; EF-SV-002, EF-SV-003.</w:t>
            </w:r>
          </w:p>
        </w:tc>
      </w:tr>
    </w:tbl>
    <w:p>
      <w:pPr>
        <w:pStyle w:val="Heading2"/>
      </w:pPr>
      <w:r>
        <w:t xml:space="preserve">6.21 UC-061 — Créer l’accès à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Protéger l’accès aux données financières dès la première utilisation.</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Aucun accès n’existe encore.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Le système demande un nom d’utilisateur et un mot de passe, en affichant les règles minimales de robustesse.</w:t>
            </w:r>
          </w:p>
          <w:p>
            <w:pPr>
              <w:spacing w:after="40"/>
            </w:pPr>
            <w:r>
              <w:rPr>
                <w:sz w:val="20"/>
                <w:szCs w:val="20"/>
              </w:rPr>
              <w:t xml:space="preserve">2. Le système valide les saisies et enregistre l’accès ; le mot de passe n’est conservé que sous forme de hachage.</w:t>
            </w:r>
          </w:p>
          <w:p>
            <w:pPr>
              <w:spacing w:after="40"/>
            </w:pPr>
            <w:r>
              <w:rPr>
                <w:sz w:val="20"/>
                <w:szCs w:val="20"/>
              </w:rPr>
              <w:t xml:space="preserve">3. Le système génère un code de récupération et l’affiche une seule fois, avec l’avertissement qu’en cas de perte du mot de passe et du code, l’accès ne peut pas être rétabli.</w:t>
            </w:r>
          </w:p>
          <w:p>
            <w:pPr>
              <w:spacing w:after="40"/>
            </w:pPr>
            <w:r>
              <w:rPr>
                <w:sz w:val="20"/>
                <w:szCs w:val="20"/>
              </w:rPr>
              <w:t xml:space="preserve">4. L’utilisateur confirme avoir noté le code ; la session s’ouvre.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Mot de passe trop faible ou confirmation différente : refus avec message explicite.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Un accès protégé existe ; le code de récupération n’est plus affichable.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ENF-006 ; V1.2 §12.4 ; EF-AU-001, EF-AU-006.</w:t>
            </w:r>
          </w:p>
        </w:tc>
      </w:tr>
    </w:tbl>
    <w:p>
      <w:pPr>
        <w:pStyle w:val="Heading2"/>
      </w:pPr>
      <w:r>
        <w:t xml:space="preserve">6.22 UC-064 — Récupérer l’accès avec le code de récupération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Acteur</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Utilisateur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Lot</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Objectif</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Redéfinir un mot de passe oublié sans perdre les données.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Préconditions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Le code de récupération est disponible.</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Scénario nominal</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 L’utilisateur choisit « Mot de passe oublié » sur l’écran de connexion.</w:t>
            </w:r>
          </w:p>
          <w:p>
            <w:pPr>
              <w:spacing w:after="40"/>
            </w:pPr>
            <w:r>
              <w:rPr>
                <w:sz w:val="20"/>
                <w:szCs w:val="20"/>
              </w:rPr>
              <w:t xml:space="preserve">2. Il saisit son code de récupération ; le système le vérifie sur son hachage.</w:t>
            </w:r>
          </w:p>
          <w:p>
            <w:pPr>
              <w:spacing w:after="40"/>
            </w:pPr>
            <w:r>
              <w:rPr>
                <w:sz w:val="20"/>
                <w:szCs w:val="20"/>
              </w:rPr>
              <w:t xml:space="preserve">3. Il définit un nouveau mot de passe respectant les règles de robustesse.</w:t>
            </w:r>
          </w:p>
          <w:p>
            <w:pPr>
              <w:spacing w:after="40"/>
            </w:pPr>
            <w:r>
              <w:rPr>
                <w:sz w:val="20"/>
                <w:szCs w:val="20"/>
              </w:rPr>
              <w:t xml:space="preserve">4. Le système met à jour l’accès, invalide l’ancien code et en génère un nouveau, affiché une seule fois.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Variantes et exceptions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Code invalide : refus ; les essais répétés sont ralentis (délai croissant).</w:t>
            </w:r>
          </w:p>
          <w:p>
            <w:pPr>
              <w:pStyle w:val="ListParagraph"/>
              <w:numPr>
                <w:ilvl w:val="0"/>
                <w:numId w:val="2"/>
              </w:numPr>
              <w:spacing w:after="40"/>
            </w:pPr>
            <w:r>
              <w:rPr>
                <w:sz w:val="20"/>
                <w:szCs w:val="20"/>
              </w:rPr>
              <w:t xml:space="preserve">Code perdu : l’application ne peut pas rétablir l’accès.</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Postconditions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pStyle w:val="ListParagraph"/>
              <w:numPr>
                <w:ilvl w:val="0"/>
                <w:numId w:val="2"/>
              </w:numPr>
              <w:spacing w:after="40"/>
            </w:pPr>
            <w:r>
              <w:rPr>
                <w:sz w:val="20"/>
                <w:szCs w:val="20"/>
              </w:rPr>
              <w:t xml:space="preserve">Toutes les données sont intactes ; un nouveau code de récupération est en vigueur.</w:t>
            </w:r>
          </w:p>
        </w:tc>
      </w:tr>
      <w:tr>
        <w:trPr>
          <w:cantSplit/>
        </w:trPr>
        <w:tc>
          <w:tcPr>
            <w:tcW w:type="dxa" w:w="21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b/>
                <w:bCs/>
                <w:sz w:val="20"/>
                <w:szCs w:val="20"/>
              </w:rPr>
              <w:t xml:space="preserve">Règles et exigences</w:t>
            </w:r>
          </w:p>
        </w:tc>
        <w:tc>
          <w:tcPr>
            <w:tcW w:type="dxa" w:w="75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ENF-006 ; EF-AU-005, EF-AU-006.</w:t>
            </w:r>
          </w:p>
        </w:tc>
      </w:tr>
    </w:tbl>
    <w:p>
      <w:pPr>
        <w:pStyle w:val="Heading1"/>
      </w:pPr>
      <w:r>
        <w:t xml:space="preserve">7. Couverture</w:t>
      </w:r>
    </w:p>
    <w:p>
      <w:pPr>
        <w:pStyle w:val="Heading2"/>
      </w:pPr>
      <w:r>
        <w:t xml:space="preserve">7.1 Exigences fonctionnelles</w:t>
      </w:r>
    </w:p>
    <w:p>
      <w:pPr>
        <w:spacing w:after="120"/>
      </w:pPr>
      <w:r>
        <w:t xml:space="preserve">Les 147 exigences fonctionnelles de la V2.2 sont toutes réalisées par au moins un cas d’utilisation. Les exigences non fonctionnelles (ENF) sont transversales et ne sont pas rattachées à un cas particulier. Chaque cas est relié à au moins une exigence fonctionnelle.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1150"/>
        <w:gridCol w:w="1250"/>
        <w:gridCol w:w="1150"/>
        <w:gridCol w:w="3688"/>
      </w:tblGrid>
      <w:tr>
        <w:trPr>
          <w:cantSplit/>
          <w:tblHeader/>
        </w:trPr>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12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12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w:t>
            </w:r>
          </w:p>
        </w:tc>
        <w:tc>
          <w:tcPr>
            <w:tcW w:type="dxa" w:w="115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Exigence</w:t>
            </w:r>
          </w:p>
        </w:tc>
        <w:tc>
          <w:tcPr>
            <w:tcW w:type="dxa" w:w="368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UC-044</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EF-AL-003</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UC-044</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UC-044, UC-045</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EF-AL-005</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UC-046</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EF-AN-001</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UC-051</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EF-AN-004</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UC-052</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EF-AN-005</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EF-AN-007</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UC-053</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EF-AN-008</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EF-AN-009</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EF-AN-010</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UC-053</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EF-AU-003</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UC-062</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EF-AU-005</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EF-AU-006</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UC-061, UC-064</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UC-039</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UC-039</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EF-BU-003</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UC-039</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EF-BU-005</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EF-BU-006</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UC-041</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EF-BU-007</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UC-040</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EF-BU-008</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EF-BU-009</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UC-041</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EF-BU-010</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EF-CO-002</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UC-002</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EF-CO-005</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UC-004</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EF-CPT-002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EF-CPT-004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EF-DA-001</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EF-DA-004</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EF-DA-005</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EF-DA-007</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EF-DA-008</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EF-DA-009</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EF-DA-010</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EF-DA-011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EF-DA-012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UC-029</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EF-DE-001</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UC-035</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UC-036</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UC-037, UC-038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EF-DE-004</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UC-037, UC-038</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EF-DE-005</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UC-037, UC-038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UC-037</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EF-DE-008</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UC-037, UC-038</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EF-DE-009</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UC-037</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EF-DE-011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EF-DE-012</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UC-037, UC-038</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EF-DE-013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UC-037, UC-038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EF-EP-002</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UC-032</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UC-034</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UC-034</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EF-EP-005</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UC-034</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EF-EP-007</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UC-034</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EF-EP-008</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UC-030</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EF-EP-009</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EF-EP-010</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UC-034</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EF-EP-014</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UC-031</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EF-EP-016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UC-006</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EF-FX-002</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UC-005</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UC-006</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EF-FX-005</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UC-006</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UC-007</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EF-FX-007</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EF-FX-008</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UC-008</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EF-FX-009</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EF-FX-010</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UC-006</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EF-FX-013</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UC-006</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EF-FX-014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EF-PA-003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EF-PV-001</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UC-047, UC-050</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UC-049</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UC-049</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EF-PV-004</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UC-049</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EF-PV-005</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UC-047</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EF-PV-007</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UC-049</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EF-PV-008</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EF-PV-009</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UC-047, UC-050</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EF-RA-001</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UC-054</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UC-055</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UC-059</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EF-RA-004</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UC-060</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EF-RE-006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EF-RE-007</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EF-RF-001</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UC-017</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EF-RF-002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UC-017</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UC-014</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EF-SF-002</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UC-014</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UC-014</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UC-014</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EF-SF-005</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UC-014</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UC-035</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EF-SF-007</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UC-015</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EF-SF-009</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UC-014</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EF-SF-010</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UC-026</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EF-SF-011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UC-014</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EF-SV-001</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UC-056</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EF-SV-004</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UC-057</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EF-SV-006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UC-059</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EF-TR-001</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EF-TR-002</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UC-013</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UC-015</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EF-TR-005</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UC-021</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UC-024</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EF-TR-007</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UC-025</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EF-TR-008</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UC-010</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EF-TR-009</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UC-009</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EF-TR-010</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UC-009</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EF-TR-011</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UC-009</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EF-TR-012</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UC-011</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EF-TR-014</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UC-051</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EF-TR-015</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EF-TR-017</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UC-022</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EF-TR-018</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EF-TR-019</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EF-TR-020</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UC-022</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EF-TR-023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UC-015</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EF-TR-024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UC-032</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EF-TR-026</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UC-016</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EF-TR-033</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UC-027</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EF-TR-034</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UC-018</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EF-TR-035</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UC-019</w:t>
            </w:r>
          </w:p>
        </w:tc>
      </w:tr>
      <w:tr>
        <w:trPr>
          <w:cantSplit/>
        </w:trPr>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EF-TR-036</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UC-020</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EF-TR-037</w:t>
            </w:r>
          </w:p>
        </w:tc>
        <w:tc>
          <w:tcPr>
            <w:tcW w:type="dxa" w:w="12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UC-023</w:t>
            </w:r>
          </w:p>
        </w:tc>
        <w:tc>
          <w:tcPr>
            <w:tcW w:type="dxa" w:w="115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EF-TR-038</w:t>
            </w:r>
          </w:p>
        </w:tc>
        <w:tc>
          <w:tcPr>
            <w:tcW w:type="dxa" w:w="368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UC-020</w:t>
            </w:r>
          </w:p>
        </w:tc>
      </w:tr>
    </w:tbl>
    <w:p>
      <w:pPr>
        <w:spacing w:after="120"/>
      </w:pPr>
    </w:p>
    <w:p>
      <w:pPr>
        <w:pStyle w:val="Heading2"/>
      </w:pPr>
      <w:r>
        <w:t xml:space="preserve">7.2 Règles métier consolidées (V1.1 et V1.2)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Section des règles métier</w:t>
            </w:r>
          </w:p>
        </w:tc>
        <w:tc>
          <w:tcPr>
            <w:tcW w:type="dxa" w:w="60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Cas qui la mettent en œuvre</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§2 Dashboard, analyses, alertes</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UC-028, UC-029, UC-051, UC-052, UC-053, UC-044, UC-045, UC-043</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§3 Usage local, sauvegarde, export, annulation logique</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UC-056, UC-057, UC-058, UC-059, UC-025, UC-004, UC-042</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§4 Modifications, annulations, audit</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UC-024, UC-025, UC-027, UC-023</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§5 Remboursements, financements, réaffectations</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UC-014, UC-026, UC-017, UC-013</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§6 Prévisions et récurrences</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UC-047, UC-048, UC-049, UC-050</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§7 Prévisions en devises différentes</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UC-049, UC-008</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§8 Frais, paiements multi-devises, montants estimés</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UC-016, UC-013, UC-049</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§9 Doublons</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UC-020</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§10 Opération de nature incertaine</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UC-018, UC-019</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V1.2 §12 Décisions complémentaires (taux fixé par l’utilisateur, excédents, doublons, accès)</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UC-006, UC-008, UC-037, UC-038, UC-020, UC-061, UC-062, UC-063, UC-064</w:t>
            </w:r>
          </w:p>
        </w:tc>
      </w:tr>
      <w:tr>
        <w:trPr>
          <w:cantSplit/>
        </w:trPr>
        <w:tc>
          <w:tcPr>
            <w:tcW w:type="dxa" w:w="36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§11 Points de cohérence (épargne, prêts, devises)</w:t>
            </w:r>
          </w:p>
        </w:tc>
        <w:tc>
          <w:tcPr>
            <w:tcW w:type="dxa" w:w="60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UC-030, UC-032, UC-033, UC-035, UC-037, UC-015, UC-006</w:t>
            </w:r>
          </w:p>
        </w:tc>
      </w:tr>
    </w:tbl>
    <w:p>
      <w:pPr>
        <w:spacing w:after="120"/>
      </w:pPr>
    </w:p>
    <w:p>
      <w:pPr>
        <w:pBdr>
          <w:left w:val="single" w:color="1F3A5F" w:sz="18" w:space="8"/>
        </w:pBdr>
        <w:shd w:fill="F2F5F9" w:val="clear"/>
        <w:spacing w:after="160" w:before="120"/>
        <w:ind w:left="160"/>
      </w:pPr>
      <w:r>
        <w:t xml:space="preserve">La couverture des règles V1.0 (RB-xx-nnn) est vérifiée au niveau des fiches, qui citent les règles concernées ; elle n’a pas fait l’objet d’une matrice règle par règle. Elle pourra être contrôlée lors des critères d’acceptation.</w:t>
      </w:r>
    </w:p>
    <w:p>
      <w:pPr>
        <w:pStyle w:val="Heading1"/>
      </w:pPr>
      <w:r>
        <w:t xml:space="preserve">8. Points relevés</w:t>
      </w:r>
    </w:p>
    <w:p>
      <w:pPr>
        <w:spacing w:after="120"/>
      </w:pPr>
      <w:r>
        <w:t xml:space="preserve">Ces points sont apparus en écrivant les cas ; les règles métier V1.1 ne les tranchaient pas. Les points résolus renvoient aux règles métier V1.2 ou aux exigences V2.3. Les points ouverts gardent une proposition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500"/>
        <w:gridCol w:w="4738"/>
      </w:tblGrid>
      <w:tr>
        <w:trPr>
          <w:cantSplit/>
          <w:tblHeader/>
        </w:trPr>
        <w:tc>
          <w:tcPr>
            <w:tcW w:type="dxa" w:w="7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ID</w:t>
            </w:r>
          </w:p>
        </w:tc>
        <w:tc>
          <w:tcPr>
            <w:tcW w:type="dxa" w:w="27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Point</w:t>
            </w:r>
          </w:p>
        </w:tc>
        <w:tc>
          <w:tcPr>
            <w:tcW w:type="dxa" w:w="1500"/>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Statut</w:t>
            </w:r>
          </w:p>
        </w:tc>
        <w:tc>
          <w:tcPr>
            <w:tcW w:type="dxa" w:w="4738"/>
            <w:tcBorders>
              <w:top w:val="single" w:color="BFC8D6" w:sz="4"/>
              <w:left w:val="single" w:color="BFC8D6" w:sz="4"/>
              <w:bottom w:val="single" w:color="BFC8D6" w:sz="4"/>
              <w:right w:val="single" w:color="BFC8D6" w:sz="4"/>
            </w:tcBorders>
            <w:shd w:fill="DCE6F2" w:val="clear"/>
            <w:tcMar>
              <w:top w:type="dxa" w:w="60"/>
              <w:left w:type="dxa" w:w="100"/>
              <w:bottom w:type="dxa" w:w="60"/>
              <w:right w:type="dxa" w:w="100"/>
            </w:tcMar>
          </w:tcPr>
          <w:p>
            <w:pPr>
              <w:spacing w:after="40"/>
            </w:pPr>
            <w:r>
              <w:rPr>
                <w:b/>
                <w:bCs/>
                <w:sz w:val="20"/>
                <w:szCs w:val="20"/>
              </w:rPr>
              <w:t xml:space="preserve">Décision ou proposition</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P-01</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Authentification sans exigence fonctionnelle alors qu’elle est prévue.</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Résolu (décision du propriétaire)</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L’authentification est nécessaire. Exigences EF-AU-001 à 006 créées (création de l’accès, connexion, session, changement de mot de passe, essais répétés, code de récupération), quatre cas UC-061 à UC-064. Le mot « facultatif » est retiré.</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P-02</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motif d’un changement de taux est-il obligatoire ?</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Résolu en partie</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Décision du propriétaire : le taux est fixé par l’utilisateur, et l’initialisation comme chaque changement sont toujours historisés. Proposition pour le motif : facultatif, avec quelques motifs suggérés.</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P-03</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Quel taux pour les indicateurs exprimés en devise de référence ?</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Ouvert</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Proposition : patrimoine et soldes au taux courant ; totaux de période (revenus, dépenses) = somme des montants convertis au taux appliqué à chaque opération. Toujours afficher le taux.</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P-04</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Une opération « À qualifier » modifie-t-elle le solde du compte ?</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Ouvert</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Proposition : oui, l’argent a réellement bougé ; elle est exclue des revenus, dépenses et analyses et affichée à part. La fiche précise désormais à quoi elle est liée.</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P-05</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Remboursement d’une dette ou d’une créance supérieur au restant, ou en devise différente.</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Résolu (proposition à valider)</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V1.2 §12.2 : le restant ne devient jamais négatif ; l’excédent est corrigé ou qualifié, jamais classé en revenu automatiquement ; le restant reste dans la devise d’origine avec conversion au taux de l’opération ; pas de gain ou perte de change automatique. EF-DE-012 et 013.</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P-06</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Une dette peut-elle être enregistrée sans entrée d’argent (dette ancienne, achat à crédit) ?</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Ouvert</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Proposition : oui, le compte de réception est facultatif ; sans compte, aucune entrée n’est créée.</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P-07</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Doublons : critères exacts et résolution.</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Résolu (proposition à valider)</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V1.2 §12.3 : même type, compte, devise, montant et date à plus ou moins un jour (réglable), description similaire en renfort. La fusion conserve l’originale, annule la nouvelle (lien « doublon de ») et reporte les informations utiles. EF-TR-036 et 038.</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P-08</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Restauration : sauvegarder l’état actuel avant de le remplacer ?</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Ouvert</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Proposition : oui, sauvegarde de sécurité automatique avant toute restauration.</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P-09</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Transfert ou paiement de dette avec fonds insuffisants : EF-TR-004 exige la vérification, pas la suite.</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Ouvert (hypothèse retenue)</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Refus pur et simple, sans source complémentaire. À confirmer.</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P-10</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EF-AN-009 : si l’utilisateur n’utilise pas les prévisions, toutes ses dépenses seraient « non planifiées ».</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Ouvert</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Proposition : ne calculer cet indicateur que pour les périodes où une prévision existe, ou le rendre activable dans les paramètres.</w:t>
            </w:r>
          </w:p>
        </w:tc>
      </w:tr>
      <w:tr>
        <w:trPr>
          <w:cantSplit/>
        </w:trPr>
        <w:tc>
          <w:tcPr>
            <w:tcW w:type="dxa" w:w="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P-11</w:t>
            </w:r>
          </w:p>
        </w:tc>
        <w:tc>
          <w:tcPr>
            <w:tcW w:type="dxa" w:w="27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Le remboursement du principal d’une dette compte-t-il comme dépense dans les analyses ?</w:t>
            </w:r>
          </w:p>
        </w:tc>
        <w:tc>
          <w:tcPr>
            <w:tcW w:type="dxa" w:w="1500"/>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Ouvert</w:t>
            </w:r>
          </w:p>
        </w:tc>
        <w:tc>
          <w:tcPr>
            <w:tcW w:type="dxa" w:w="4738"/>
            <w:tcBorders>
              <w:top w:val="single" w:color="BFC8D6" w:sz="4"/>
              <w:left w:val="single" w:color="BFC8D6" w:sz="4"/>
              <w:bottom w:val="single" w:color="BFC8D6" w:sz="4"/>
              <w:right w:val="single" w:color="BFC8D6" w:sz="4"/>
            </w:tcBorders>
            <w:tcMar>
              <w:top w:type="dxa" w:w="60"/>
              <w:left w:type="dxa" w:w="100"/>
              <w:bottom w:type="dxa" w:w="60"/>
              <w:right w:type="dxa" w:w="100"/>
            </w:tcMar>
          </w:tcPr>
          <w:p>
            <w:pPr>
              <w:spacing w:after="40"/>
            </w:pPr>
            <w:r>
              <w:rPr>
                <w:sz w:val="20"/>
                <w:szCs w:val="20"/>
              </w:rPr>
              <w:t xml:space="preserve">Proposition : non. Un prêt reçu n’est pas un revenu, donc son remboursement n’est pas une dépense de consommation ; seuls les intérêts ou frais sont des dépenses.</w:t>
            </w:r>
          </w:p>
        </w:tc>
      </w:tr>
    </w:tbl>
    <w:p>
      <w:pPr>
        <w:pStyle w:val="Heading1"/>
      </w:pPr>
      <w:r>
        <w:t xml:space="preserve">9. Étapes suivantes</w:t>
      </w:r>
    </w:p>
    <w:p>
      <w:pPr>
        <w:pStyle w:val="ListParagraph"/>
        <w:numPr>
          <w:ilvl w:val="0"/>
          <w:numId w:val="2"/>
        </w:numPr>
        <w:spacing w:after="60"/>
      </w:pPr>
      <w:r>
        <w:t xml:space="preserve">Valider ou corriger les points encore ouverts (P-02 à P-04, P-06, P-08 à P-11) et les deux règles proposées (P-05, P-07).</w:t>
      </w:r>
    </w:p>
    <w:p>
      <w:pPr>
        <w:pStyle w:val="ListParagraph"/>
        <w:numPr>
          <w:ilvl w:val="0"/>
          <w:numId w:val="2"/>
        </w:numPr>
        <w:spacing w:after="60"/>
      </w:pPr>
      <w:r>
        <w:t xml:space="preserve">Rédiger les critères d’acceptation à partir des scénarios et des exemples chiffrés de ce document.</w:t>
      </w:r>
    </w:p>
    <w:p>
      <w:pPr>
        <w:pStyle w:val="ListParagraph"/>
        <w:numPr>
          <w:ilvl w:val="0"/>
          <w:numId w:val="2"/>
        </w:numPr>
        <w:spacing w:after="60"/>
      </w:pPr>
      <w:r>
        <w:t xml:space="preserve">Concevoir le MCD/MLD en s’appuyant sur les liens causaux, les allocations de financement et l’historisation décrits ici.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FinTrack — Cas d’utilisation V1.1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246ed19b2d15c987671168042e5df3d51e580b.png"/><Relationship Id="rId9" Type="http://schemas.openxmlformats.org/officeDocument/2006/relationships/image" Target="media/5b2a9f496523e61949fd49f2c9d59187574192bd.png"/><Relationship Id="rId10" Type="http://schemas.openxmlformats.org/officeDocument/2006/relationships/image" Target="media/ecf32099d51ff847b3e0f484be3da7ce60c4bc5b.png"/><Relationship Id="rId11" Type="http://schemas.openxmlformats.org/officeDocument/2006/relationships/image" Target="media/84761238944c1ed7428671482147bd614cc39027.png"/><Relationship Id="rId12" Type="http://schemas.openxmlformats.org/officeDocument/2006/relationships/image" Target="media/2aa67b04d25cba16c2e5acc5e1cf6c84d3915d88.png"/><Relationship Id="rId13" Type="http://schemas.openxmlformats.org/officeDocument/2006/relationships/image" Target="media/c9deca71b4096dc23a99079dcc380d14f805567a.png"/><Relationship Id="rId14" Type="http://schemas.openxmlformats.org/officeDocument/2006/relationships/image" Target="media/936d7c4dc537fea00e95859b713ee56f4abe38f7.png"/><Relationship Id="rId15" Type="http://schemas.openxmlformats.org/officeDocument/2006/relationships/image" Target="media/4d307c804b6abd5d97c16f35ad0a208e73232c90.png"/><Relationship Id="rId16" Type="http://schemas.openxmlformats.org/officeDocument/2006/relationships/image" Target="media/8512bf7cbb8f9b264736ec7a5517017d4ba8ea64.png"/><Relationship Id="rId17" Type="http://schemas.openxmlformats.org/officeDocument/2006/relationships/image" Target="media/3948df50dd4296045ce63c3e2732ae84da97681c.png"/><Relationship Id="rId18" Type="http://schemas.openxmlformats.org/officeDocument/2006/relationships/image" Target="media/44a65741f36c32727d7ef8691ab897e949f5ea72.png"/><Relationship Id="rId19" Type="http://schemas.openxmlformats.org/officeDocument/2006/relationships/image" Target="media/71ac65d45d35c2af09de5b039200e576656bd412.png"/><Relationship Id="rId20" Type="http://schemas.openxmlformats.org/officeDocument/2006/relationships/image" Target="media/8e4fa9a0a34007409df0c921d8bf305998bf42b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FinTrack</dc:creator>
  <cp:lastModifiedBy>Un-named</cp:lastModifiedBy>
  <cp:revision>1</cp:revision>
  <dcterms:created xsi:type="dcterms:W3CDTF">2026-10-18T01:20:22.207Z</dcterms:created>
  <dcterms:modified xsi:type="dcterms:W3CDTF">2026-10-18T01:20:22.207Z</dcterms:modified>
</cp:coreProperties>
</file>

<file path=docProps/custom.xml><?xml version="1.0" encoding="utf-8"?>
<Properties xmlns="http://schemas.openxmlformats.org/officeDocument/2006/custom-properties" xmlns:vt="http://schemas.openxmlformats.org/officeDocument/2006/docPropsVTypes"/>
</file>