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4"/>
          <w:szCs w:val="44"/>
        </w:rPr>
        <w:t xml:space="preserve">FINTRACK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Modèle conceptuel de données (MCD)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 octobre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Version de travail, à relire par le propriétaire du projet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Documents de référence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Exigences V2.3 ; Règles métier V1.2 ; Cas d’utilisation V1.1 ; Critères d’acceptation V1.0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37 entités, 52 associations, 20 contraintes d’intégrité, 13 décisions de modélisation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Objet du document</w:t>
      </w:r>
    </w:p>
    <w:p>
      <w:pPr>
        <w:spacing w:after="120"/>
      </w:pPr>
      <w:r>
        <w:t xml:space="preserve">Le MCD décrit </w:t>
      </w:r>
      <w:r>
        <w:rPr>
          <w:b/>
          <w:bCs/>
        </w:rPr>
        <w:t xml:space="preserve">les données que FinTrack doit retenir et les liens entre elles</w:t>
      </w:r>
      <w:r>
        <w:t xml:space="preserve">, sans parler de SQLite, de tables ni de code. Il répond à la question : « de quoi doit-on se souvenir pour qu’aucun argent ne disparaisse sans laisser de trace ? »</w:t>
      </w:r>
    </w:p>
    <w:p>
      <w:pPr>
        <w:spacing w:after="120"/>
      </w:pPr>
      <w:r>
        <w:t xml:space="preserve">Il sert de pont entre les spécifications et la base de données : les entités et associations d’ici deviendront les tables et clés étrangères du </w:t>
      </w:r>
      <w:r>
        <w:rPr>
          <w:b/>
          <w:bCs/>
        </w:rPr>
        <w:t xml:space="preserve">MLD</w:t>
      </w:r>
      <w:r>
        <w:t xml:space="preserve">, puis les colonnes, types et contraintes du </w:t>
      </w:r>
      <w:r>
        <w:rPr>
          <w:b/>
          <w:bCs/>
        </w:rPr>
        <w:t xml:space="preserve">dictionnaire des données</w:t>
      </w:r>
      <w:r>
        <w:t xml:space="preserve">. Les scénarios des critères d’acceptation y sont vérifiés (section 7).</w:t>
      </w:r>
    </w:p>
    <w:p>
      <w:pPr>
        <w:pStyle w:val="Heading2"/>
      </w:pPr>
      <w:r>
        <w:t xml:space="preserve">1.1 Notation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diagrammes sont dessinés en Mermaid (</w:t>
      </w:r>
      <w:r>
        <w:rPr>
          <w:rFonts w:ascii="Consolas" w:cs="Consolas" w:eastAsia="Consolas" w:hAnsi="Consolas"/>
          <w:sz w:val="20"/>
          <w:szCs w:val="20"/>
        </w:rPr>
        <w:t xml:space="preserve">erDiagram</w:t>
      </w:r>
      <w:r>
        <w:t xml:space="preserve">) avec des pattes de corbeau : un trait simple « | » signifie un, un rond « o » signifie zéro, une patte signifie plusieurs.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cardinalités de Merise</w:t>
      </w:r>
      <w:r>
        <w:t xml:space="preserve"> (minimum, maximum) sont données dans les tables de la section 4 : </w:t>
      </w:r>
      <w:r>
        <w:rPr>
          <w:rFonts w:ascii="Consolas" w:cs="Consolas" w:eastAsia="Consolas" w:hAnsi="Consolas"/>
          <w:sz w:val="20"/>
          <w:szCs w:val="20"/>
        </w:rPr>
        <w:t xml:space="preserve">(0,n)</w:t>
      </w:r>
      <w:r>
        <w:t xml:space="preserve"> signifie « zéro ou plusieurs fois » et </w:t>
      </w:r>
      <w:r>
        <w:rPr>
          <w:rFonts w:ascii="Consolas" w:cs="Consolas" w:eastAsia="Consolas" w:hAnsi="Consolas"/>
          <w:sz w:val="20"/>
          <w:szCs w:val="20"/>
        </w:rPr>
        <w:t xml:space="preserve">(1,1)</w:t>
      </w:r>
      <w:r>
        <w:t xml:space="preserve"> « exactement une fois ». Elles se lisent à côté de l’entité concernée.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</w:t>
      </w:r>
      <w:r>
        <w:rPr>
          <w:b/>
          <w:bCs/>
        </w:rPr>
        <w:t xml:space="preserve">spécialisation</w:t>
      </w:r>
      <w:r>
        <w:t xml:space="preserve"> (revenu, dépense, transfert…) est dessinée comme une association de l’opération avec sa spécialisation, de cardinalités (0,1) et (1,1).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code Mermaid complet, avec tous les attributs, est dans </w:t>
      </w:r>
      <w:r>
        <w:rPr>
          <w:rFonts w:ascii="Consolas" w:cs="Consolas" w:eastAsia="Consolas" w:hAnsi="Consolas"/>
          <w:sz w:val="20"/>
          <w:szCs w:val="20"/>
        </w:rPr>
        <w:t xml:space="preserve">mcd.md</w:t>
      </w:r>
      <w:r>
        <w:t xml:space="preserve"> ; les diagrammes détaillés sont dans le dossier </w:t>
      </w:r>
      <w:r>
        <w:rPr>
          <w:rFonts w:ascii="Consolas" w:cs="Consolas" w:eastAsia="Consolas" w:hAnsi="Consolas"/>
          <w:sz w:val="20"/>
          <w:szCs w:val="20"/>
        </w:rPr>
        <w:t xml:space="preserve">diagrammes</w:t>
      </w:r>
      <w:r>
        <w:t xml:space="preserve">.</w:t>
      </w:r>
    </w:p>
    <w:p>
      <w:pPr>
        <w:pBdr>
          <w:left w:val="single" w:color="1F3A5F" w:sz="18" w:space="8"/>
        </w:pBdr>
        <w:shd w:fill="F2F5F9" w:val="clear"/>
        <w:spacing w:after="160" w:before="120"/>
        <w:ind w:left="160"/>
      </w:pPr>
      <w:r>
        <w:t xml:space="preserve">Choix de présentation : les diagrammes de ce document montrent les entités et leurs associations ; la liste des attributs de chaque entité est donnée dans des tables, plus lisibles. Le code Mermaid détaillé contient les mêmes attributs.</w:t>
      </w:r>
    </w:p>
    <w:p>
      <w:pPr>
        <w:pStyle w:val="Heading1"/>
      </w:pPr>
      <w:r>
        <w:t xml:space="preserve">2. Décisions de modélisation</w:t>
      </w:r>
    </w:p>
    <w:p>
      <w:pPr>
        <w:spacing w:after="120"/>
      </w:pPr>
      <w:r>
        <w:t xml:space="preserve">Ces décisions traduisent les règles métier en structure de données. Elles expliquent pourquoi le modèle est fait ainsi.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5538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Décision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Origine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D-01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Historisation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opérations ne sont jamais supprimées ni réécrites : elles ont un statut (ACTIVE ou ANNULEE), une date d’annulation et un motif. Chaque modification, annulation, qualification, réaffectation ou restauration est inscrite dans un journal EVENEMENT_HISTORIQUE écrit seulement (ancienne valeur, nouvelle valeur, date et heure, motif). Deux entités sont versionnées par nature : TAUX_CHANGE et BUDGET_VERSION.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Proposition à valider (point ouvert « modèle d’historisation »).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D-02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Solde dérivé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 solde n’est stocké. Solde d’un compte = solde initial + somme des mouvements des opérations actives. L’argent disponible, l’épargne et le patrimoine sont calculés à partir des comptes. Un cache de solde pourra être ajouté au MLD s’il reste contrôlable.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RB-CO, EF-CPT-002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D-03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Opération et spécialisations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table centrale OPERATION porte ce que tous les types ont en commun (date, montant, devise, statut) ; chaque type a sa spécialisation reliée en 1 à 0..1. Une opération de type INCONNU n’a aucune spécialisation : c’est l’opération « À qualifier ». Elle a ses mouvements, donc elle modifie le solde ; sans spécialisation, elle n’entre ni dans les revenus ni dans les dépenses.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D-04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Qualification en place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Qualifier une opération INCONNU change son type, crée la spécialisation voulue et inscrit un événement QUALIFICATION. Aucun nouveau mouvement n’est créé : le solde n’est pas modifié deux fois. Pour un transfert, le mouvement de la contrepartie est créé à ce moment.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D-05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Montants et devises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Tout montant porte sa devise. Le montant d’une opération est toujours positif ; le signe est porté par le mouvement. Un mouvement est dans la devise de son compte. Aucune addition entre devises n’est possible dans le modèle : toute somme se fait par devise.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EF-FX-003, 009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D-06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 et conversions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TAUX_CHANGE conserve chaque fixation, l’initialisation comprise. Le taux courant est la fixation la plus récente. Chaque CONVERSION garde son propre taux, saisi ou courant, pour ne jamais recalculer le passé.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§12.1, EF-FX-005, 010, 014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D-07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Dépense, paiement, allocation, source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dépense est réglée par un ou plusieurs paiements ; chaque paiement est financé par des allocations ; chaque allocation puise dans une source rattachée à un compte. Une source répartie sur plusieurs dépenses s’exprime par plusieurs allocations.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EF-SF-001 à 010, EF-TR-026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D-08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Épargne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L’épargne est un compte réel. Une contribution est un TRANSFERT vers ce compte, rattaché à un objectif par OPERATION_EPARGNE. Un retrait est le transfert inverse. Aucune épargne virtuelle.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V1.1 §11, EF-EP-008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D-09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Dettes et créances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restant n’est pas stocké : montant initial moins les montants appliqués par les remboursements actifs, dans la devise de l’engagement. L’opération initiale (entrée ou sortie d’argent) est facultative (point P-06). Le remboursement du principal n’est pas une DEPENSE ; les intérêts ou frais éventuels sont des dépenses distinctes, liées si besoin (point P-11).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D-10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Liens de causalité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liens fréquents ont une clé étrangère dédiée (remboursement vers dépense, paiement vers dépense). Les autres (doublon de, excédent de, correction de) passent par LIEN_OPERATION, qui permet d’en ajouter sans changer le schéma.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EF-TR-033, 038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D-11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Refus faute de fonds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action refusée n’est pas une opération : elle est inscrite dans ACTION_REFUSEE, sans mouvement, hors de tout solde et de tout indicateur.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§12.6, EF-TR-039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D-12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Indicateurs non stockés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Soldes, argent disponible, épargne, patrimoine, restants (dettes, créances, prévisions), progression d’un objectif, taux de consommation d’un budget, taux d’épargne et toutes les analyses sont calculés à la demande. Aucun rapport n’est stocké.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EF-DA, EF-AN, EF-RA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D-13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Utilisateur unique</w:t>
            </w:r>
          </w:p>
        </w:tc>
        <w:tc>
          <w:tcPr>
            <w:tcW w:type="dxa" w:w="5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Application locale à un seul utilisateur : aucune donnée financière n’est rattachée à un propriétaire. L’entité UTILISATEUR ne sert qu’à l’accès.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§12.4</w:t>
            </w:r>
          </w:p>
        </w:tc>
      </w:tr>
    </w:tbl>
    <w:p>
      <w:pPr>
        <w:pStyle w:val="Heading1"/>
      </w:pPr>
      <w:r>
        <w:t xml:space="preserve">3. Diagrammes et attributs</w:t>
      </w:r>
    </w:p>
    <w:p>
      <w:pPr>
        <w:pStyle w:val="Heading2"/>
      </w:pPr>
      <w:r>
        <w:t xml:space="preserve">3.1 Vue d’ensemble</w:t>
      </w:r>
    </w:p>
    <w:p>
      <w:pPr>
        <w:keepNext/>
        <w:spacing w:after="120"/>
      </w:pPr>
      <w:r>
        <w:t xml:space="preserve">Vue simplifiée du squelette : les spécialisations d’opération sont regroupées dans OPERATION et les budgets sont reliés à leurs catégories (la table LIMITE_CATEGORIE est détaillée plus loin).</w:t>
      </w:r>
    </w:p>
    <w:p>
      <w:pPr>
        <w:spacing w:after="160"/>
        <w:jc w:val="center"/>
      </w:pPr>
      <w:r>
        <w:drawing>
          <wp:inline distT="0" distB="0" distL="0" distR="0">
            <wp:extent cx="6115050" cy="3638550"/>
            <wp:effectExtent t="0" r="0" b="0" l="0"/>
            <wp:docPr id="1" name="ensemble" descr="Vue d’ensemble du MCD" title="ensem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Devises, taux de change et comptes</w:t>
      </w:r>
    </w:p>
    <w:p>
      <w:pPr>
        <w:keepNext/>
        <w:spacing w:after="120"/>
      </w:pPr>
      <w:r>
        <w:t xml:space="preserve">Le taux de change est une suite de fixations jamais modifiées. Chaque conversion réalisée garde son propre taux.</w:t>
      </w:r>
    </w:p>
    <w:p>
      <w:pPr>
        <w:spacing w:after="160"/>
        <w:jc w:val="center"/>
      </w:pPr>
      <w:r>
        <w:drawing>
          <wp:inline distT="0" distB="0" distL="0" distR="0">
            <wp:extent cx="5676900" cy="2714625"/>
            <wp:effectExtent t="0" r="0" b="0" l="0"/>
            <wp:docPr id="1" name="referentiel" descr="Devises, taux de change et comptes" title="referent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 (PK), nom, symbole, decimales, active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TAUX_CHANGE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devise_base (FK), devise_cible (FK), taux, ancien_taux, fixe_le, motif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nom, type_compte, devise_code (FK), solde_initial, actif, cree_le, desactive_le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CONVERSION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operation_id (FK), devise_source (FK), montant_source, devise_cible (FK), montant_cible, taux, sens, origine_taux, taux_change_id (FK)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Opérations, mouvements et spécialisations</w:t>
      </w:r>
    </w:p>
    <w:p>
      <w:pPr>
        <w:keepNext/>
        <w:spacing w:after="120"/>
      </w:pPr>
      <w:r>
        <w:t xml:space="preserve">Toute opération produit au moins un mouvement sur un compte. Le solde d’un compte se déduit du solde initial et des mouvements des opérations actives : il n’est jamais saisi. Les types d’opération (revenu, dépense, transfert, remboursement) sont des spécialisations de l’opération.</w:t>
      </w:r>
    </w:p>
    <w:p>
      <w:pPr>
        <w:spacing w:after="160"/>
        <w:jc w:val="center"/>
      </w:pPr>
      <w:r>
        <w:drawing>
          <wp:inline distT="0" distB="0" distL="0" distR="0">
            <wp:extent cx="6115050" cy="3276600"/>
            <wp:effectExtent t="0" r="0" b="0" l="0"/>
            <wp:docPr id="1" name="operations" descr="Opérations, mouvements et spécialisations" title="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type_operation, date_operation, description, note, montant, devise_code (FK), statut, cree_le, annule_le, motif_annulation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MOUVEMENT_COMPTE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operation_id (FK), compte_id (FK), montant, devise_code (FK), date_valeur, allocation_id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nom, sens, personnalisee, active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REVENU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operation_id (PK, FK), categorie_id (FK), nature, tiers_id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DEPENSE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operation_id (PK, FK), categorie_id (FK), nature, prevision_id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TRANSFERT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operation_id (PK, FK), compte_source_id (FK), compte_destination_id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REMBOURSEMENT_DEPENSE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operation_id (PK, FK), depense_id (FK)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Paiements et sources de financement</w:t>
      </w:r>
    </w:p>
    <w:p>
      <w:pPr>
        <w:keepNext/>
        <w:spacing w:after="120"/>
      </w:pPr>
      <w:r>
        <w:t xml:space="preserve">Une dépense est réglée par un ou plusieurs paiements ; chaque paiement est financé par une ou plusieurs allocations puisées dans des sources. Une même source peut financer plusieurs dépenses.</w:t>
      </w:r>
    </w:p>
    <w:p>
      <w:pPr>
        <w:spacing w:after="160"/>
        <w:jc w:val="center"/>
      </w:pPr>
      <w:r>
        <w:drawing>
          <wp:inline distT="0" distB="0" distL="0" distR="0">
            <wp:extent cx="6115050" cy="5810250"/>
            <wp:effectExtent t="0" r="0" b="0" l="0"/>
            <wp:docPr id="1" name="financement" descr="Paiements et sources de financement" title="financ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PAIEMENT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depense_id (FK), date_paiement, montant, devise_code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paiement_id (FK), source_id (FK), montant_depense, montant_compte, devise_compte (FK), conversion_id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SOURCE_FINANCEMENT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compte_id (FK), operation_origine_id (FK), nature_source, montant_total, devise_code (FK), description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Liens entre opérations, doublons et « À qualifier »</w:t>
      </w:r>
    </w:p>
    <w:p>
      <w:pPr>
        <w:keepNext/>
        <w:spacing w:after="120"/>
      </w:pPr>
      <w:r>
        <w:t xml:space="preserve">Les liens de causalité (doublon de, excédent de, correction de) sont conservés dans une table unique. Une opération « À qualifier » est une opération de type INCONNU : elle a ses mouvements donc modifie le solde, mais n’a aucune spécialisation, donc n’entre ni dans les revenus ni dans les dépenses.</w:t>
      </w:r>
    </w:p>
    <w:p>
      <w:pPr>
        <w:spacing w:after="160"/>
        <w:jc w:val="center"/>
      </w:pPr>
      <w:r>
        <w:drawing>
          <wp:inline distT="0" distB="0" distL="0" distR="0">
            <wp:extent cx="5133975" cy="2714625"/>
            <wp:effectExtent t="0" r="0" b="0" l="0"/>
            <wp:docPr id="1" name="liens" descr="Liens entre opérations, doublons et « À qualifier »" title="li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LIEN_OPERATION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operation_origine_id (FK), operation_liee_id (FK), type_lien, cree_le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DECISION_DOUBLON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operation_a_id (FK), operation_b_id (FK), decision, decide_le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Épargne</w:t>
      </w:r>
    </w:p>
    <w:p>
      <w:pPr>
        <w:keepNext/>
        <w:spacing w:after="120"/>
      </w:pPr>
      <w:r>
        <w:t xml:space="preserve">L’épargne est un compte réel : une contribution est un transfert vers ce compte, rattaché à un objectif.</w:t>
      </w:r>
    </w:p>
    <w:p>
      <w:pPr>
        <w:spacing w:after="160"/>
        <w:jc w:val="center"/>
      </w:pPr>
      <w:r>
        <w:drawing>
          <wp:inline distT="0" distB="0" distL="0" distR="0">
            <wp:extent cx="4724400" cy="4476750"/>
            <wp:effectExtent t="0" r="0" b="0" l="0"/>
            <wp:docPr id="1" name="epargne" descr="Épargne" title="epar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OBJECTIF_EPARGNE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nom, montant_cible, devise_code (FK), date_limite, description, compte_epargne_id (FK), statut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OPERATION_EPARGNE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operation_id (PK, FK), objectif_id (FK), sens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Dettes et créances</w:t>
      </w:r>
    </w:p>
    <w:p>
      <w:pPr>
        <w:keepNext/>
        <w:spacing w:after="120"/>
      </w:pPr>
      <w:r>
        <w:t xml:space="preserve">Le restant d’une dette ou d’une créance se déduit des remboursements actifs ; il n’est pas stocké.</w:t>
      </w:r>
    </w:p>
    <w:p>
      <w:pPr>
        <w:spacing w:after="160"/>
        <w:jc w:val="center"/>
      </w:pPr>
      <w:r>
        <w:drawing>
          <wp:inline distT="0" distB="0" distL="0" distR="0">
            <wp:extent cx="3810000" cy="6238875"/>
            <wp:effectExtent t="0" r="0" b="0" l="0"/>
            <wp:docPr id="1" name="dettes" descr="Dettes et créances" title="det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TIERS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nom, type_tiers, contact, actif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sens, tiers_id (FK), montant_initial, devise_code (FK), date_engagement, echeance, statut, operation_initiale_id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REMBOURSEMENT_ENGAGEMENT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operation_id (PK, FK), engagement_id (FK), montant_applique, conversion_id (FK)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Budgets et alertes</w:t>
      </w:r>
    </w:p>
    <w:p>
      <w:pPr>
        <w:keepNext/>
        <w:spacing w:after="120"/>
      </w:pPr>
      <w:r>
        <w:t xml:space="preserve">Un budget garde toutes ses versions et leurs périodes d’application.</w:t>
      </w:r>
    </w:p>
    <w:p>
      <w:pPr>
        <w:spacing w:after="160"/>
        <w:jc w:val="center"/>
      </w:pPr>
      <w:r>
        <w:drawing>
          <wp:inline distT="0" distB="0" distL="0" distR="0">
            <wp:extent cx="6115050" cy="3552825"/>
            <wp:effectExtent t="0" r="0" b="0" l="0"/>
            <wp:docPr id="1" name="budgets" descr="Budgets et alertes" title="bud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libelle, portee, devise_code (FK), periode_debut, periode_fin, seuil_alerte_pct, statut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BUDGET_VERSION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budget_id (FK), numero, montant_global, valide_du, valide_au, motif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LIMITE_CATEGORIE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budget_version_id (FK), categorie_id (FK), montant_limite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ALERTE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type_alerte, budget_id (FK), niveau, message, creee_le, statut, resolue_le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ALERTE_EVOLUTION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alerte_id (FK), date_heure, ancien_niveau, nouveau_niveau, commentaire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Prévisions et récurrences</w:t>
      </w:r>
    </w:p>
    <w:p>
      <w:pPr>
        <w:keepNext/>
        <w:spacing w:after="120"/>
      </w:pPr>
      <w:r>
        <w:t xml:space="preserve">Une prévision ne produit aucun mouvement : seule la dépense réelle qui la réalise modifie les soldes.</w:t>
      </w:r>
    </w:p>
    <w:p>
      <w:pPr>
        <w:spacing w:after="160"/>
        <w:jc w:val="center"/>
      </w:pPr>
      <w:r>
        <w:drawing>
          <wp:inline distT="0" distB="0" distL="0" distR="0">
            <wp:extent cx="4210050" cy="6238875"/>
            <wp:effectExtent t="0" r="0" b="0" l="0"/>
            <wp:docPr id="1" name="previsions" descr="Prévisions et récurrences" title="previ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RECURRENCE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frequence, jour_du_mois, regle_jour_absent, regle_jour_non_ouvre, date_debut, date_fin, etat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PREVISION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libelle, montant, montant_estime, devise_code (FK), categorie_id (FK), date_echeance, etat, date_report, recurrence_id (FK)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FRAIS_PREVU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prevision_id (FK), libelle, montant_prevu, montant_reel, depense_id (FK)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3.10 Historique, refus et sauvegardes</w:t>
      </w:r>
    </w:p>
    <w:p>
      <w:pPr>
        <w:keepNext/>
        <w:spacing w:after="120"/>
      </w:pPr>
      <w:r>
        <w:t xml:space="preserve">Le journal d’historique et les refus sont écrits seulement : jamais modifiés ni supprimés.</w:t>
      </w:r>
    </w:p>
    <w:p>
      <w:pPr>
        <w:spacing w:after="160"/>
        <w:jc w:val="center"/>
      </w:pPr>
      <w:r>
        <w:drawing>
          <wp:inline distT="0" distB="0" distL="0" distR="0">
            <wp:extent cx="6115050" cy="1876425"/>
            <wp:effectExtent t="0" r="0" b="0" l="0"/>
            <wp:docPr id="1" name="historique" descr="Historique, refus et sauvegardes" title="histor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EVENEMENT_HISTORIQUE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date_heure, type_evenement, entite_type, entite_id, operation_id (FK), ancienne_valeur, nouvelle_valeur, motif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ACTION_REFUSEE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date_heure, type_operation, compte_id (FK), montant, devise_code (FK), motif_refus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SAUVEGARDE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nom_fichier, cree_le, type_sauvegarde, empreinte, version_schema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RESTAURATION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sauvegarde_id (FK), sauvegarde_securite_id (FK), date_heure, resultat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3.11 Accès et paramètres</w:t>
      </w:r>
    </w:p>
    <w:p>
      <w:pPr>
        <w:keepNext/>
        <w:spacing w:after="120"/>
      </w:pPr>
      <w:r>
        <w:t xml:space="preserve">Application locale à un seul utilisateur : aucune entité financière n’est rattachée à un propriétaire.</w:t>
      </w:r>
    </w:p>
    <w:p>
      <w:pPr>
        <w:spacing w:after="160"/>
        <w:jc w:val="center"/>
      </w:pPr>
      <w:r>
        <w:drawing>
          <wp:inline distT="0" distB="0" distL="0" distR="0">
            <wp:extent cx="6115050" cy="2238375"/>
            <wp:effectExtent t="0" r="0" b="0" l="0"/>
            <wp:docPr id="1" name="acces" descr="Accès et paramètres" title="ac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Attributs (PK : identifiant, FK : clé étrangère, UK : unique)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UTILISATEUR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nom_utilisateur (UK), mot_de_passe_hash, code_recuperation_hash, cree_le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utilisateur_id (FK), jeton_hash, debut, derniere_activite, fin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TENTATIVE_CONNEXION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(PK), utilisateur_id (FK), date_heure, succes, delai_impose_sec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PARAMETRE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 (PK), utilisateur_id (FK), valeur, description, modifie_le</w:t>
            </w:r>
          </w:p>
        </w:tc>
      </w:tr>
    </w:tbl>
    <w:p>
      <w:pPr>
        <w:spacing w:after="120"/>
      </w:pPr>
    </w:p>
    <w:p>
      <w:pPr>
        <w:pBdr>
          <w:left w:val="single" w:color="1F3A5F" w:sz="18" w:space="8"/>
        </w:pBdr>
        <w:shd w:fill="F2F5F9" w:val="clear"/>
        <w:spacing w:after="160" w:before="120"/>
        <w:ind w:left="160"/>
      </w:pPr>
      <w:r>
        <w:t xml:space="preserve">Liste des types d’opération (OPERATION.type_operation) : REVENU, DEPENSE, TRANSFERT, REMBOURSEMENT_DEPENSE, ENGAGEMENT_INITIAL (entrée ou sortie d’argent qui crée une dette ou une créance), REMBOURSEMENT_ENGAGEMENT et INCONNU (« À qualifier »). Épargne : une contribution ou un retrait est un TRANSFERT.</w:t>
      </w:r>
    </w:p>
    <w:p>
      <w:pPr>
        <w:pStyle w:val="Heading1"/>
      </w:pPr>
      <w:r>
        <w:t xml:space="preserve">4. Associations et cardinalités</w:t>
      </w:r>
    </w:p>
    <w:p>
      <w:pPr>
        <w:spacing w:after="120"/>
      </w:pPr>
      <w:r>
        <w:t xml:space="preserve">Lecture : la cardinalité écrite à côté d’une entité indique combien de fois une occurrence de cette entité participe à l’association. Exemple : un COMPTE (0,n) est débité ou crédité par des MOUVEMENT_COMPTE (1,1) : un compte a zéro ou plusieurs mouvements, un mouvement concerne exactement un compte.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638"/>
        <w:gridCol w:w="700"/>
        <w:gridCol w:w="3400"/>
      </w:tblGrid>
      <w:tr>
        <w:trPr>
          <w:cantSplit/>
          <w:tblHeader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Card.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Association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Card.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 liée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exprime le solde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la devise de base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TAUX_CHANGE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la devise cotée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TAUX_CHANGE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CONVERSION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s'appuie sur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TAUX_CHANGE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débité ou crédité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MOUVEMENT_COMPTE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produit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MOUVEMENT_COMPTE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utilise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un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une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un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TRANSFERT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un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REMBOURSEMENT_DEPENSE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DEPENSE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remboursée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REMBOURSEMENT_DEPENSE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TRANSFERT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débite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TRANSFERT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crédite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DEPENSE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réglée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PAIEMENT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PAIEMENT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financé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ALLOCATION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SOURCE_FINANCEMENT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alimente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ALLOCATION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fournit les fonds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SOURCE_FINANCEMENT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l'origine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SOURCE_FINANCEMENT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peut être convertie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provoque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MOUVEMENT_COMPTE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l'origine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LIEN_OPERATION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liée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LIEN_OPERATION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l'opération A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DECISION_DOUBLON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l'opération B 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DECISION_DOUBLON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sert de support à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OBJECTIF_EPARGNE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OBJECTIF_EPARGNE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reçoit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OPERATION_EPARGNE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TRANSFERT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matérialise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OPERATION_EPARGNE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TIERS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concerné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ENGAGEMENT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remboursé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REMBOURSEMENT_ENGAGEMENT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un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REMBOURSEMENT_ENGAGEMENT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initialise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ENGAGEMENT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REMBOURSEMENT_ENGAGEMENT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peut être convertie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pour versions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BUDGET_VERSION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BUDGET_VERSION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fixe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LIMITE_CATEGORIE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limitée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LIMITE_CATEGORIE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déclenche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ALERTE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évolue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ALERTE_EVOLUTION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RECURRENCE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génère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PREVISION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PREVISION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PREVISION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comprend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FRAIS_PREVU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PREVISION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réalisée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FRAIS_PREVU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réglé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tracée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EVENEMENT_HISTORIQUE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visé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ACTION_REFUSEE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SAUVEGARDE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 restaurée par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RESTAURATION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SAUVEGARDE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protège (sécurité)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RESTAURATION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UTILISATEUR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ouvre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UTILISATEUR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subit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TENTATIVE_CONNEXION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UTILISATEUR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(0,n)</w:t>
            </w:r>
          </w:p>
        </w:tc>
        <w:tc>
          <w:tcPr>
            <w:tcW w:type="dxa" w:w="2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règle</w:t>
            </w:r>
          </w:p>
        </w:tc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PARAMETRE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Catalogue des entités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600"/>
        <w:gridCol w:w="2438"/>
      </w:tblGrid>
      <w:tr>
        <w:trPr>
          <w:cantSplit/>
          <w:tblHeader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Lot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Exigences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DEVISE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Devises gérées (USD, CDF) et leur précision.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EF-FX-001, 002, 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TAUX_CHANGE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Historique des fixations du taux USD/CDF par l’utilisateur ; jamais modifié ni supprimé.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EF-FX-004, 005, 006, 010, 013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COMPTE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Lieu réel où se trouve l’argent (espèces, banque, monnaie mobile, épargne), dans une seule devise.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EF-CO-001 à 005, EF-CPT-002, 004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Classement des revenus et des dépenses ; désactivable, jamais supprimée si elle sert.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EF-TR-008 à 011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TIERS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Personne ou organisation concernée par un don, une dette ou une créance.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et 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EF-RE-006, EF-DE-001, 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Fait financier unique et non destructif : revenu, dépense, transfert, remboursement, engagement initial ou opération inconnue (« À qualifier »).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EF-TR-001 à 007, 033, 034, 035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MOUVEMENT_COMPTE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Effet d’une opération sur un compte (débit ou crédit). Seule source des soldes.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EF-CPT-002, EF-TR-003, EF-CO-002, 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CONVERSION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Conversion USD/CDF réalisée : devises, montants, taux et sens utilisés.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EF-FX-007, 008, 014, EF-TR-023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REVENU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Spécialisation de l’opération : entrée d’argent régulière ou exceptionnelle.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EF-TR-001, EF-RE-006, 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DEPENSE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Spécialisation de l’opération : sortie de consommation, avec catégorie et nature.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EF-TR-002, 012, 013, EF-SF-001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TRANSFERT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Spécialisation de l’opération : déplacement entre deux comptes de l’utilisateur.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EF-TR-003, EF-SF-007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REMBOURSEMENT_DEPENSE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Spécialisation de l’opération : remboursement reçu au titre d’une dépense, lié à elle.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EF-RF-001, 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PAIEMENT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Règlement partiel ou total d’une dépense, avec sa date et sa devise.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SOURCE_FINANCEMENT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Origine des fonds qui paient une dépense (compte, nature, opération d’origine).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EF-SF-001 à 006, 009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 d’un paiement financée par une source (une source peut financer plusieurs dépenses).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EF-SF-001, 002, 009, 010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OBJECTIF_EPARGNE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But d’épargne chiffré, adossé à un compte d’épargne réel.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EF-EP-001, 003, 004, 008, 014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OPERATION_EPARGNE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Rattache un transfert à un objectif : contribution ou retrait.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EF-EP-002, 005, 009, 016, EF-TR-024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Dette ou créance envers un tiers ; son restant est calculé.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EF-DE-001, 002, 004, 005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REMBOURSEMENT_ENGAGEMENT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Spécialisation de l’opération : remboursement partiel ou total d’une dette ou créance.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EF-DE-003, 006, 008, 009, 011 à 013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LIEN_OPERATION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Lien de causalité entre deux opérations (doublon de, excédent de, correction de).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EF-TR-033, 038, EF-DE-012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DECISION_DOUBLON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Décision mémorisée pour une paire d’opérations semblables (légitime ou fusionnée).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EF-TR-036, 038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 d’une période, global ou par catégorie.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EF-BU-001 à 003, 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BUDGET_VERSION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Version d’un budget avec ses dates d’application.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LIMITE_CATEGORIE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Limite d’une catégorie dans une version de budget.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EF-BU-003, 004, 006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ALERTE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Alerte émise (dépassement, seuil, constat) avec son état.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EF-AL-001 à 004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ALERTE_EVOLUTION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Historique des changements de niveau et de la résolution d’une alerte.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EF-AL-004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PREVISION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Dépense future attendue, exacte ou estimée ; sans effet sur les soldes.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EF-PV-001 à 004, 006, 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RECURRENCE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Règle de répétition d’une prévision (fréquence, jours absents ou non ouvrés).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EF-PV-005, 009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FRAIS_PREVU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Frais liés à un achat prévu, avec montant prévu et réel.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EVENEMENT_HISTORIQUE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Journal écrit seulement : création, modification, annulation, qualification, taux…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EF-TR-006, 007, 037, EF-FX-005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ACTION_REFUSEE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Trace d’une action refusée faute de fonds ; n’est pas une opération.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SAUVEGARDE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Fiche d’une sauvegarde (manuelle, automatique ou de sécurité).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EF-SV-001, 004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RESTAURATION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Fiche d’une restauration, liée à la sauvegarde restaurée et à celle de sécurité.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EF-SV-002, 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Accès unique à l’application : mot de passe et code de récupération hachés.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EF-AU-001, 004, 006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Session ouverte, avec dernière activité pour l’expiration.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EF-AU-002, 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TENTATIVE_CONNEXION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Tentative de connexion journalisée sans donnée sensible.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PARAMETRE</w:t>
            </w:r>
          </w:p>
        </w:tc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Réglages : devise de référence, seuils, tolérance de doublon, période par défaut…</w:t>
            </w:r>
          </w:p>
        </w:tc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EF-FX-002, EF-PA-003, EF-DA-012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Contraintes d’intégrité</w:t>
      </w:r>
    </w:p>
    <w:p>
      <w:pPr>
        <w:spacing w:after="120"/>
      </w:pPr>
      <w:r>
        <w:t xml:space="preserve">Un diagramme ne peut pas exprimer ces règles. Elles seront traduites en contraintes de la base (clés, contrôles, déclencheurs) ou en code de l’API, puis vérifiées par les critères d’acceptation.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38"/>
        <w:gridCol w:w="2200"/>
      </w:tblGrid>
      <w:tr>
        <w:trPr>
          <w:cantSplit/>
          <w:tblHeader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Contrainte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Origine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CI-01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mouvement est exprimé dans la devise de son compte.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CI-02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solde d’un compte vaut son solde initial plus la somme des mouvements des opérations actives ; il n’est jamais modifiable directement.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EF-CPT-002 ; CA-HC-05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CI-03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opération annulée n’est jamais supprimée ; ses mouvements ne comptent plus dans les soldes, et l’annulation produit un événement d’historique.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CI-04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transfert a exactement deux mouvements de signes opposés sur deux comptes différents. Si les devises diffèrent, une conversion est obligatoire.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EF-TR-003, 023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CI-05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conversion n’est possible avant la première fixation du taux. Les fixations et les conversions ne sont ni modifiées ni supprimées.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EF-FX-010, 013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CI-06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somme des allocations d’un paiement égale le montant du paiement ; la somme des paiements d’une dépense ne dépasse pas son montant.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EF-SF-002, EF-TR-026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CI-07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 une source a un montant total, la somme de ses allocations ne le dépasse pas.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EF-SF-009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CI-08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restant d’un engagement = montant initial − somme des montants appliqués (remboursements actifs) ; il n’est jamais négatif ; il est SOLDE à zéro.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EF-DE-004, 005, 012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CI-09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excédent de remboursement n’est pas appliqué : il est qualifié ou corrigé, et lié à l’opération d’origine par un lien EXCEDENT_DE.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V1.2 §12.2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CI-10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somme des remboursements actifs d’une dépense ne dépasse pas son montant ; sinon l’écart est signalé.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EF-RF-002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CI-11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compte d’épargne n’a qu’un objectif en cours à la fois, et n’est désactivable que si son solde est nul.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EF-EP-014, EF-CO-005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CI-12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opération INCONNU a des mouvements mais aucune spécialisation, et n’entre dans aucun total de revenus, de dépenses, de budgets ou d’analyses.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EF-TR-034, 035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CI-13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prévision ne produit aucun mouvement ; sa réalisation crée ou lie une dépense, une seule fois.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EF-PV-002, 003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CI-14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versions d’un budget ne se chevauchent pas dans le temps ; aucun report automatique du non consommé.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EF-BU-007, 008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CI-15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paire de doublons n’a qu’une décision. Fusionner annule la nouvelle opération avec un lien DOUBLON_DE sans changer le montant de l’originale.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EF-TR-036, 038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CI-16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opération ou une action refusée faute de fonds n’enregistre aucun mouvement ; seule une ligne ACTION_REFUSEE est créée.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CI-17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EVENEMENT_HISTORIQUE, ACTION_REFUSEE, ALERTE_EVOLUTION et TAUX_CHANGE sont écrits seulement.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EF-TR-037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CI-18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Une catégorie utilisée n’est jamais supprimée, seulement désactivée.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EF-TR-011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CI-19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Mots de passe, code de récupération et jeton de session sont stockés hachés ; les tentatives de connexion ne contiennent aucune donnée sensible.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EF-AU-001, 005, 006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CI-20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 montant d’une opération est strictement positif.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D-05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Vérification sur des exemples</w:t>
      </w:r>
    </w:p>
    <w:p>
      <w:pPr>
        <w:spacing w:after="120"/>
      </w:pPr>
      <w:r>
        <w:t xml:space="preserve">Ces exemples reprennent des scénarios des critères d’acceptation et montrent les lignes que le modèle stocke. Si le modèle ne permettait pas de les représenter, il serait incomplet.</w:t>
      </w:r>
    </w:p>
    <w:p>
      <w:pPr>
        <w:pStyle w:val="Heading2"/>
      </w:pPr>
      <w:r>
        <w:t xml:space="preserve">Exemple 1 — 500 USD reçus, 100 USD épargnés</w:t>
      </w:r>
    </w:p>
    <w:p>
      <w:pPr>
        <w:spacing w:after="120"/>
      </w:pPr>
      <w:r>
        <w:t xml:space="preserve">Vérifie la séparation disponible / épargne / patrimoine (CA-EP-02).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Données stockées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 n°1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REVENU, 500 USD, ACTIVE ; spécialisation REVENU (régulier, « Salaire »)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MOUVEMENT_COMPTE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+500 sur « Cash USD 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 n°2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TRANSFERT, 100 USD, ACTIVE ; spécialisation TRANSFERT (Cash USD vers Épargne USD)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MOUVEMENT_COMPTE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−100 sur « Cash USD » ; +100 sur « Épargne USD 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OPERATION_EPARGNE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transfert n°2, objectif « Laptop », CONTRIBUTION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Calculé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Disponible 400 USD ; épargne 100 USD ; patrimoine 500 USD ; revenus 500 ; dépenses 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Exemple 2 — dépense de 100 USD financée par 80 USD et 40 000 CDF (taux 2 000)</w:t>
      </w:r>
    </w:p>
    <w:p>
      <w:pPr>
        <w:spacing w:after="120"/>
      </w:pPr>
      <w:r>
        <w:t xml:space="preserve">Vérifie les sources multiples et la conversion (CA-TR-09).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Données stockées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 n°3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DEPENSE, 100 USD ; spécialisation DEPENSE (« Alimentation », nécessaire)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PAIEMENT n°1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 USD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SOURCE_FINANCEMENT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n°1 (Cash USD, nature REVENU) ; n°2 (Airtel Money, nature REVENU)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ALLOCATION n°1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n°1 ; 80 USD côté dépense ; 80 USD côté compte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ALLOCATION n°2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n°2 ; 20 USD côté dépense ; 40 000 CDF côté compte ; CONVERSION n°1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CONVERSION n°1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40 000 CDF vers 20 USD, taux 2 000, sens CDF vers USD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MOUVEMENT_COMPTE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−80 USD sur « Cash USD » ; −40 000 CDF sur « Airtel Money 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Contrôle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80 + 20 = 100 USD : CI-06 respectée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Exemple 3 — créance de 100 USD, 110 USD reçus</w:t>
      </w:r>
    </w:p>
    <w:p>
      <w:pPr>
        <w:spacing w:after="120"/>
      </w:pPr>
      <w:r>
        <w:t xml:space="preserve">Vérifie le plafonnement du restant et le traitement de l’excédent (CA-DE-05).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Données stockées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CREANCE, tiers « Marie », 100 USD, EN_COURS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 n°5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REMBOURSEMENT_ENGAGEMENT, 100 USD ; montant appliqué 100 ; mouvement +100 sur « Mobile USD 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 n°6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INCONNU (« À qualifier »), 10 USD ; mouvement +10 sur « Mobile USD 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LIEN_OPERATION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n°6 EXCEDENT_DE n°5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Calculé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Restant 0, créance SOLDE ; solde de « Mobile USD » +110 ; revenus inchangés ; 10 USD en attente de qualification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Exemple 4 — transfert refusé faute de fonds</w:t>
      </w:r>
    </w:p>
    <w:p>
      <w:pPr>
        <w:spacing w:after="120"/>
      </w:pPr>
      <w:r>
        <w:t xml:space="preserve">Vérifie la trace sans opération (CA-TR-14).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Données stockées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« Cash USD » 50 USD ; tentative de transfert de 100 USD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ACTION_REFUSEE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TRANSFERT, compte « Cash USD », 100 USD, motif « fonds insuffisants », date et heure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OPERATION / MOUVEMENT_COMPTE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ligne créée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Calculé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Soldes inchangés ; aucun indicateur modifié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Exemple 5 — fixation puis changement du taux</w:t>
      </w:r>
    </w:p>
    <w:p>
      <w:pPr>
        <w:spacing w:after="120"/>
      </w:pPr>
      <w:r>
        <w:t xml:space="preserve">Vérifie l’historisation et l’absence de recalcul (CA-FX-02, CA-FX-03).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Données stockées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TAUX_CHANGE n°1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USD/CDF, taux 2 000, ancien taux vide, motif vide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CONVERSION n°1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taux 2 000 (d’après la fixation n°1)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TAUX_CHANGE n°2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USD/CDF, taux 2 800, ancien taux 2 000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Résultat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conversion n°1 garde 2 000 ; les nouvelles conversions proposent 2 800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Couverture des exigences</w:t>
      </w:r>
    </w:p>
    <w:p>
      <w:pPr>
        <w:spacing w:after="120"/>
      </w:pPr>
      <w:r>
        <w:t xml:space="preserve">Chaque module d’exigences est porté par au moins une entité. Les exigences d’analyse et de rapport n’ont pas d’entité propre : elles s’appuient sur des calculs.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Modules EF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Entités concernées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CO, CPT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COMPTE, MOUVEMENT_COMPTE, DEVISE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FX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DEVISE, TAUX_CHANGE, CONVERSION, PARAMETRE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REVENU, TIERS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 et spécialisations, CATEGORIE, LIEN_OPERATION, DECISION_DOUBLON, EVENEMENT_HISTORIQUE, ACTION_REFUSEE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SF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PAIEMENT, ALLOCATION, SOURCE_FINANCEMENT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EP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OBJECTIF_EPARGNE, OPERATION_EPARGNE, COMPTE, TRANSFERT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TIERS, ENGAGEMENT, REMBOURSEMENT_ENGAGEMENT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REMBOURSEMENT_DEPENSE, LIEN_OPERATION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BU, AL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BUDGET, BUDGET_VERSION, LIMITE_CATEGORIE, ALERTE, ALERTE_EVOLUTION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PV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PREVISION, RECURRENCE, FRAIS_PREVU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DA, AN, RA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Aucune entité propre : indicateurs et rapports calculés à partir des entités ci-dessus (D-12)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SV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SAUVEGARDE, RESTAURATION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UTILISATEUR, SESSION, TENTATIVE_CONNEXION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</w:t>
            </w:r>
          </w:p>
        </w:tc>
        <w:tc>
          <w:tcPr>
            <w:tcW w:type="dxa" w:w="7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PARAMETRE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Points à valider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V-01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Modèle d’historisation : opérations non destructives plus journal écrit seulement (D-01). C’est le choix qui restait ouvert dans le suivi.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V-02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Représentation des montants : décimaux ou entiers en plus petite unité (centimes USD, francs CDF). À trancher au MLD ; le MCD n’en dépend pas.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V-03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Les fiches SAUVEGARDE et RESTAURATION vivent dans la base : après une restauration, elles sont remplacées par celles de la sauvegarde. Il faudra les réinscrire ou les garder hors de la base.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V-04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PARAMETRE en clé et valeur (souple) ou en colonnes (typé) : à fixer au MLD.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V-05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Dette sans entrée d’argent (point P-06) : le modèle autorise une opération initiale absente ; le MCD suppose oui.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V-06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Récurrences : les occurrences futures sont-elles stockées comme prévisions à l’avance, ou générées à la demande ? Le MCD prévoit des prévisions stockées liées à leur récurrence.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V-07</w:t>
            </w:r>
          </w:p>
        </w:tc>
        <w:tc>
          <w:tcPr>
            <w:tcW w:type="dxa" w:w="8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compte n’a qu’une devise ; un besoin de compte multi-devises obligerait à créer un compte par devise.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Prochaine étape : le MLD (tables, clés primaires et étrangères, types) puis le dictionnaire des données.</w:t>
      </w:r>
    </w:p>
    <w:p>
      <w:pPr>
        <w:pStyle w:val="Heading1"/>
      </w:pPr>
      <w:r>
        <w:t xml:space="preserve">10. Historique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cantSplit/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Changement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 octobre 2026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Première rédaction à partir des exigences V2.3, règles métier V1.2, cas d’utilisation V1.1 et critères d’acceptation V1.0.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FinTrack — MCD V1.0  —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8351e9a64e87b451bf7674b8dfc20e06d1dc612.png"/><Relationship Id="rId9" Type="http://schemas.openxmlformats.org/officeDocument/2006/relationships/image" Target="media/af4ecbf16eb96e652ac1ae18552e53cddd2a1d51.png"/><Relationship Id="rId10" Type="http://schemas.openxmlformats.org/officeDocument/2006/relationships/image" Target="media/ac723ae7839f3b0ef38462afe07761da0523883a.png"/><Relationship Id="rId11" Type="http://schemas.openxmlformats.org/officeDocument/2006/relationships/image" Target="media/2ee97c37e6902ee1ecf892d2969409511e823c9b.png"/><Relationship Id="rId12" Type="http://schemas.openxmlformats.org/officeDocument/2006/relationships/image" Target="media/c2bd5fb5db46bff403272c46adfb0673f59f694c.png"/><Relationship Id="rId13" Type="http://schemas.openxmlformats.org/officeDocument/2006/relationships/image" Target="media/921086b88dff6d58235046ef56eb5c6a8f9be5b2.png"/><Relationship Id="rId14" Type="http://schemas.openxmlformats.org/officeDocument/2006/relationships/image" Target="media/0f11a9e2a9eacd7e8deb9c1ab531ce8e831ca6c6.png"/><Relationship Id="rId15" Type="http://schemas.openxmlformats.org/officeDocument/2006/relationships/image" Target="media/4319d833165e9edcae4e002b1f81e0fd53b5da25.png"/><Relationship Id="rId16" Type="http://schemas.openxmlformats.org/officeDocument/2006/relationships/image" Target="media/b9d738db5acb627e56c9f55c4a02981e53043a95.png"/><Relationship Id="rId17" Type="http://schemas.openxmlformats.org/officeDocument/2006/relationships/image" Target="media/f62119109cf37cf75d10d9c1d87e4628551e88ab.png"/><Relationship Id="rId18" Type="http://schemas.openxmlformats.org/officeDocument/2006/relationships/image" Target="media/8dec760be29b44f843ed1485580872aeee32035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FinTrack</dc:creator>
  <cp:lastModifiedBy>Un-named</cp:lastModifiedBy>
  <cp:revision>1</cp:revision>
  <dcterms:created xsi:type="dcterms:W3CDTF">2026-10-18T14:46:59.901Z</dcterms:created>
  <dcterms:modified xsi:type="dcterms:W3CDTF">2026-10-18T14:46:59.902Z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