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2026-09-15</w:t>
      </w:r>
    </w:p>
    <w:p>
      <w:r>
        <w:rPr>
          <w:color w:val="8A939E"/>
          <w:sz w:val="18"/>
        </w:rPr>
        <w:t>覆盖 4 家媒体 · 入库 2,120 条 · 去重后 1,734 条 · 识别热点 40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0.813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两部门：推进第五代精简指令集（RISC-V）研发与产业化 支</w:t>
            </w:r>
          </w:p>
        </w:tc>
        <w:tc>
          <w:tcPr>
            <w:tcW w:type="dxa" w:w="1440"/>
          </w:tcPr>
          <w:p>
            <w:r>
              <w:t>16/3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0.765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华为放权，问界大调整：产品、营销、销售、服务均由赛力斯主导，</w:t>
            </w:r>
          </w:p>
        </w:tc>
        <w:tc>
          <w:tcPr>
            <w:tcW w:type="dxa" w:w="1440"/>
          </w:tcPr>
          <w:p>
            <w:r>
              <w:t>17/2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0.739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9月15日隔夜要闻：欧美股指收跌 油价上涨 10年期美债收益</w:t>
            </w:r>
          </w:p>
        </w:tc>
        <w:tc>
          <w:tcPr>
            <w:tcW w:type="dxa" w:w="1440"/>
          </w:tcPr>
          <w:p>
            <w:r>
              <w:t>14/3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0.736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汽车出行</w:t>
            </w:r>
          </w:p>
        </w:tc>
        <w:tc>
          <w:tcPr>
            <w:tcW w:type="dxa" w:w="1440"/>
          </w:tcPr>
          <w:p>
            <w:r>
              <w:t>深夜，广汽集团公布停牌原因！拟并购标的为“整车企业”部分股权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0.710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沙特东西输油管道大部分运力或停摆三至五周，红海出口通道再度受</w:t>
            </w:r>
          </w:p>
        </w:tc>
        <w:tc>
          <w:tcPr>
            <w:tcW w:type="dxa" w:w="1440"/>
          </w:tcPr>
          <w:p>
            <w:r>
              <w:t>7/2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0.652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微软发布AI行为准则：强调“人比AI重要”，拒绝追逐无边界超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0.648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八部门发布促进智能家居消费行动方案 扩大优质智能家居供给 加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0.648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上证指数开盘报3879.73点，跌0.14%。 深证成指开盘</w:t>
            </w:r>
          </w:p>
        </w:tc>
        <w:tc>
          <w:tcPr>
            <w:tcW w:type="dxa" w:w="1440"/>
          </w:tcPr>
          <w:p>
            <w:r>
              <w:t>4/4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0.627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美国国债收益率小幅走高，2年期至10年期国债收益率触及9月1</w:t>
            </w:r>
          </w:p>
        </w:tc>
        <w:tc>
          <w:tcPr>
            <w:tcW w:type="dxa" w:w="1440"/>
          </w:tcPr>
          <w:p>
            <w:r>
              <w:t>12/2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0.622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同程旅行：坚决落实在线酒店预订平台服务行业合规要求 反对“内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两部门：推进第五代精简指令集（RISC-V）研发与产业化 支持RISC-V芯片在人工智能</w:t>
      </w:r>
    </w:p>
    <w:p>
      <w:r>
        <w:rPr>
          <w:color w:val="8A939E"/>
          <w:sz w:val="18"/>
        </w:rPr>
        <w:t>热度 0.813（爆点）· 16 篇 / 3 家媒体 · 综合</w:t>
      </w:r>
    </w:p>
    <w:p>
      <w:r>
        <w:rPr>
          <w:b/>
          <w:color w:val="16324F"/>
        </w:rPr>
        <w:t>事件概述：</w:t>
      </w:r>
      <w:r>
        <w:t>「两部门：推进第五代精简指令集（RISC-V）研发与产业化 支持RISC-V芯片在人工智能、嵌入式」由 16 篇报道聚合而成，覆盖 3 家媒体，热度 0.813（爆点），所属板块类目：综合。</w:t>
      </w:r>
    </w:p>
    <w:p>
      <w:r>
        <w:rPr>
          <w:b/>
          <w:color w:val="16324F"/>
        </w:rPr>
        <w:t>关键信息：</w:t>
      </w:r>
      <w:r>
        <w:t>两部门：推进第五代精简指令集（RISC-V）研发与产业化 支持RISC-V芯片在；两部门：加强端侧大模型、计算芯片、存储芯片、操作系统兼容适配 加快智能体与终端产；两部门：提升人工智能芯片设计水平</w:t>
      </w:r>
    </w:p>
    <w:p>
      <w:r>
        <w:rPr>
          <w:b/>
          <w:color w:val="16324F"/>
        </w:rPr>
        <w:t>市场影响：</w:t>
      </w:r>
      <w:r>
        <w:t>关联板块代码：BK0459、BK0800、BK0428、BK1201、BK0839。（LLM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引用：[1]两部门：推进第五代精简指令集（RISC-V）研发与产 / [2]两部门：加强端侧大模型、计算芯片、存储芯片、操作系统 / [3]两部门：提升人工智能芯片设计水平 / [4]两部门：加快发展电子设计自动化工具（EDA）和知识产</w:t>
      </w:r>
    </w:p>
    <w:p>
      <w:pPr>
        <w:pStyle w:val="Heading2"/>
      </w:pPr>
      <w:r>
        <w:t>华为放权，问界大调整：产品、营销、销售、服务均由赛力斯主导，华为仅赋能！知情人：以后问界</w:t>
      </w:r>
    </w:p>
    <w:p>
      <w:r>
        <w:rPr>
          <w:color w:val="8A939E"/>
          <w:sz w:val="18"/>
        </w:rPr>
        <w:t>热度 0.765（爆点）· 17 篇 / 2 家媒体 · 综合</w:t>
      </w:r>
    </w:p>
    <w:p>
      <w:r>
        <w:rPr>
          <w:b/>
          <w:color w:val="16324F"/>
        </w:rPr>
        <w:t>事件概述：</w:t>
      </w:r>
      <w:r>
        <w:t>「华为放权，问界大调整：产品、营销、销售、服务均由赛力斯主导，华为仅赋能！知情人：以后问界门店只卖」由 17 篇报道聚合而成，覆盖 2 家媒体，热度 0.765（爆点），所属板块类目：综合。</w:t>
      </w:r>
    </w:p>
    <w:p>
      <w:r>
        <w:rPr>
          <w:b/>
          <w:color w:val="16324F"/>
        </w:rPr>
        <w:t>关键信息：</w:t>
      </w:r>
      <w:r>
        <w:t>华为放权，问界大调整：产品、营销、销售、服务均由赛力斯主导，华为仅赋能！知情人：；问界合作模式调整：赛力斯主导全链条，华为赋能；问界仍属鸿蒙智行五界，但品牌渠道等转由赛力斯主导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引用：[1]华为放权，问界大调整：产品、营销、销售、服务均由赛力 / [2]问界合作模式调整：赛力斯主导全链条，华为赋能 / [3]问界仍属鸿蒙智行五界，但品牌渠道等转由赛力斯主导 / [4]华为与赛力斯合作模式调整后资源聚焦其余四大品牌</w:t>
      </w:r>
    </w:p>
    <w:p>
      <w:pPr>
        <w:pStyle w:val="Heading2"/>
      </w:pPr>
      <w:r>
        <w:t>9月15日隔夜要闻：欧美股指收跌 油价上涨 10年期美债收益率突破5% 华尔街大行股价重</w:t>
      </w:r>
    </w:p>
    <w:p>
      <w:r>
        <w:rPr>
          <w:color w:val="8A939E"/>
          <w:sz w:val="18"/>
        </w:rPr>
        <w:t>热度 0.739（爆点）· 14 篇 / 3 家媒体 · AI与大模型</w:t>
      </w:r>
    </w:p>
    <w:p>
      <w:r>
        <w:rPr>
          <w:b/>
          <w:color w:val="16324F"/>
        </w:rPr>
        <w:t>事件概述：</w:t>
      </w:r>
      <w:r>
        <w:t>「9月15日隔夜要闻：欧美股指收跌 油价上涨 10年期美债收益率突破5% 华尔街大行股价重挫」由 14 篇报道聚合而成，覆盖 3 家媒体，热度 0.739（爆点），所属板块类目：AI与大模型。</w:t>
      </w:r>
    </w:p>
    <w:p>
      <w:r>
        <w:rPr>
          <w:b/>
          <w:color w:val="16324F"/>
        </w:rPr>
        <w:t>关键信息：</w:t>
      </w:r>
      <w:r>
        <w:t>9月15日隔夜要闻：欧美股指收跌 油价上涨 10年期美债收益率突破5% 华尔街大；10年期美债破5！芯片股光通信重挫，金融板块跳水，恐慌指数VIX飙升8%；华尔街见闻早餐 | 2026年9月15日</w:t>
      </w:r>
    </w:p>
    <w:p>
      <w:r>
        <w:rPr>
          <w:b/>
          <w:color w:val="16324F"/>
        </w:rPr>
        <w:t>市场影响：</w:t>
      </w:r>
      <w:r>
        <w:t>关联板块代码：BK1036、BK0459。（LLM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引用：[1]9月15日隔夜要闻：欧美股指收跌 油价上涨 10年期 / [2]10年期美债破5！芯片股光通信重挫，金融板块跳水，恐 / [3]华尔街见闻早餐 | 2026年9月15日 / [4]美银CEO预计第三季交易收入“相对持平” 华尔街大行</w:t>
      </w:r>
    </w:p>
    <w:p>
      <w:pPr>
        <w:pStyle w:val="Heading2"/>
      </w:pPr>
      <w:r>
        <w:t>深夜，广汽集团公布停牌原因！拟并购标的为“整车企业”部分股权，且在境外上市</w:t>
      </w:r>
    </w:p>
    <w:p>
      <w:r>
        <w:rPr>
          <w:color w:val="8A939E"/>
          <w:sz w:val="18"/>
        </w:rPr>
        <w:t>热度 0.736（爆点）· 9 篇 / 3 家媒体 · 汽车出行</w:t>
      </w:r>
    </w:p>
    <w:p>
      <w:r>
        <w:rPr>
          <w:b/>
          <w:color w:val="16324F"/>
        </w:rPr>
        <w:t>事件概述：</w:t>
      </w:r>
      <w:r>
        <w:t>「深夜，广汽集团公布停牌原因！拟并购标的为“整车企业”部分股权，且在境外上市」由 9 篇报道聚合而成，覆盖 3 家媒体，热度 0.736（爆点），所属板块类目：汽车出行。</w:t>
      </w:r>
    </w:p>
    <w:p>
      <w:r>
        <w:rPr>
          <w:b/>
          <w:color w:val="16324F"/>
        </w:rPr>
        <w:t>关键信息：</w:t>
      </w:r>
      <w:r>
        <w:t>深夜，广汽集团公布停牌原因！拟并购标的为“整车企业”部分股权，且在境外上市；广汽集团：拟发行股份收购某整车合资公司部分股权并停牌；​广汽“换股”一汽：南北丰田整合走向台前</w:t>
      </w:r>
    </w:p>
    <w:p>
      <w:r>
        <w:rPr>
          <w:b/>
          <w:color w:val="16324F"/>
        </w:rPr>
        <w:t>市场影响：</w:t>
      </w:r>
      <w:r>
        <w:t>关联板块代码：BK0499、BK1029。（LLM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引用：[1]深夜，广汽集团公布停牌原因！拟并购标的为“整车企业” / [2]广汽集团：拟发行股份收购某整车合资公司部分股权并停牌 / [3]​广汽“换股”一汽：南北丰田整合走向台前 / [4]广汽集团H股涨超12% 拟发A股购一汽股份所持合资车</w:t>
      </w:r>
    </w:p>
    <w:p>
      <w:pPr>
        <w:pStyle w:val="Heading2"/>
      </w:pPr>
      <w:r>
        <w:t>沙特东西输油管道大部分运力或停摆三至五周，红海出口通道再度受限</w:t>
      </w:r>
    </w:p>
    <w:p>
      <w:r>
        <w:rPr>
          <w:color w:val="8A939E"/>
          <w:sz w:val="18"/>
        </w:rPr>
        <w:t>热度 0.710（高热）· 7 篇 / 2 家媒体 · 国际市场</w:t>
      </w:r>
    </w:p>
    <w:p>
      <w:r>
        <w:rPr>
          <w:b/>
          <w:color w:val="16324F"/>
        </w:rPr>
        <w:t>事件概述：</w:t>
      </w:r>
      <w:r>
        <w:t>「沙特东西输油管道大部分运力或停摆三至五周，红海出口通道再度受限」由 7 篇报道聚合而成，覆盖 2 家媒体，热度 0.71（高热），所属板块类目：国际市场。</w:t>
      </w:r>
    </w:p>
    <w:p>
      <w:r>
        <w:rPr>
          <w:b/>
          <w:color w:val="16324F"/>
        </w:rPr>
        <w:t>关键信息：</w:t>
      </w:r>
      <w:r>
        <w:t>沙特东西输油管道大部分运力或停摆三至五周，红海出口通道再度受限；沙特关键输油管道遇袭受损 主力运力将停运数周；沙特东西输油管道遭无人机袭击后停运 关键石油绕行通道受阻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引用：[1]沙特东西输油管道大部分运力或停摆三至五周，红海出口通 / [2]沙特关键输油管道遇袭受损 主力运力将停运数周 / [3]沙特东西输油管道遭无人机袭击后停运 关键石油绕行通道 / [4]石油安全缓冲正在失效，沙特加紧抢修关键输油管道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采集：4 家媒体公开接口，累计入库 2,120 条</w:t>
      </w:r>
    </w:p>
    <w:p>
      <w:pPr>
        <w:pStyle w:val="ListBullet"/>
      </w:pPr>
      <w:r>
        <w:t>三层去重：1,920 → 1,734 条（精确79/SimHash5/语义102）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