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40FD90">
      <w:pPr>
        <w:spacing w:after="0" w:line="240" w:lineRule="auto"/>
        <w:jc w:val="center"/>
        <w:rPr>
          <w:rFonts w:ascii="Times New Roman" w:hAnsi="Times New Roman" w:eastAsia="Calibri" w:cs="Times New Roman"/>
          <w:sz w:val="32"/>
          <w:szCs w:val="32"/>
          <w:lang w:eastAsia="ru-RU"/>
        </w:rPr>
      </w:pPr>
      <w:bookmarkStart w:id="0" w:name="_Hlk89432172"/>
      <w:bookmarkEnd w:id="0"/>
      <w:r>
        <w:rPr>
          <w:rFonts w:ascii="Times New Roman" w:hAnsi="Times New Roman" w:eastAsia="Calibri" w:cs="Times New Roman"/>
          <w:sz w:val="32"/>
          <w:szCs w:val="32"/>
          <w:lang w:eastAsia="ru-RU"/>
        </w:rPr>
        <w:t>Министерство науки и высшего образования Российской Федерации</w:t>
      </w:r>
    </w:p>
    <w:p w14:paraId="364C82FD">
      <w:pPr>
        <w:spacing w:after="0" w:line="240" w:lineRule="auto"/>
        <w:jc w:val="center"/>
        <w:rPr>
          <w:rFonts w:ascii="Times New Roman" w:hAnsi="Times New Roman" w:eastAsia="Calibri" w:cs="Times New Roman"/>
          <w:sz w:val="32"/>
          <w:szCs w:val="32"/>
          <w:lang w:eastAsia="ru-RU"/>
        </w:rPr>
      </w:pPr>
      <w:r>
        <w:rPr>
          <w:rFonts w:ascii="Times New Roman" w:hAnsi="Times New Roman" w:eastAsia="Calibri" w:cs="Times New Roman"/>
          <w:sz w:val="32"/>
          <w:szCs w:val="32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3049E6F9">
      <w:pPr>
        <w:spacing w:after="0" w:line="240" w:lineRule="auto"/>
        <w:rPr>
          <w:rFonts w:ascii="Times New Roman" w:hAnsi="Times New Roman" w:eastAsia="Calibri" w:cs="Times New Roman"/>
          <w:sz w:val="32"/>
          <w:szCs w:val="32"/>
          <w:lang w:eastAsia="ru-RU"/>
        </w:rPr>
      </w:pPr>
      <w:r>
        <w:rPr>
          <w:rFonts w:ascii="Times New Roman" w:hAnsi="Times New Roman" w:eastAsia="Calibri" w:cs="Times New Roman"/>
          <w:sz w:val="32"/>
          <w:szCs w:val="32"/>
          <w:lang w:eastAsia="ru-RU"/>
        </w:rPr>
        <w:t>«СЕВЕРО-КАВКАЗСКИЙ ФЕДЕРАЛЬНЫЙ УНИВЕРСИТЕТ»</w:t>
      </w:r>
    </w:p>
    <w:p w14:paraId="1E2EA7BD">
      <w:pPr>
        <w:spacing w:after="0" w:line="240" w:lineRule="auto"/>
        <w:rPr>
          <w:rFonts w:ascii="Times New Roman" w:hAnsi="Times New Roman" w:eastAsia="Calibri" w:cs="Times New Roman"/>
          <w:sz w:val="32"/>
          <w:szCs w:val="32"/>
          <w:lang w:eastAsia="ru-RU"/>
        </w:rPr>
      </w:pPr>
      <w:r>
        <w:rPr>
          <w:rFonts w:ascii="Times New Roman" w:hAnsi="Times New Roman" w:eastAsia="Calibri" w:cs="Times New Roman"/>
          <w:sz w:val="32"/>
          <w:szCs w:val="32"/>
          <w:lang w:eastAsia="ru-RU"/>
        </w:rPr>
        <w:t xml:space="preserve"> </w:t>
      </w:r>
    </w:p>
    <w:tbl>
      <w:tblPr>
        <w:tblStyle w:val="3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4"/>
        <w:gridCol w:w="7548"/>
      </w:tblGrid>
      <w:tr w14:paraId="0AD4F84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0" w:type="dxa"/>
          </w:tcPr>
          <w:p w14:paraId="7EE5C9DC">
            <w:pPr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32"/>
                <w:szCs w:val="32"/>
                <w:lang w:eastAsia="ru-RU"/>
              </w:rPr>
              <w:t xml:space="preserve">Институт </w:t>
            </w:r>
          </w:p>
        </w:tc>
        <w:tc>
          <w:tcPr>
            <w:tcW w:w="8471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507DF2B5">
            <w:pPr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32"/>
                <w:szCs w:val="32"/>
                <w:lang w:eastAsia="ru-RU"/>
              </w:rPr>
              <w:t>математики и компьютерных наук</w:t>
            </w:r>
          </w:p>
        </w:tc>
      </w:tr>
      <w:tr w14:paraId="22B2E58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0" w:type="dxa"/>
          </w:tcPr>
          <w:p w14:paraId="27456C33">
            <w:pPr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32"/>
                <w:szCs w:val="32"/>
                <w:lang w:eastAsia="ru-RU"/>
              </w:rPr>
              <w:t xml:space="preserve">Кафедра </w:t>
            </w:r>
          </w:p>
        </w:tc>
        <w:tc>
          <w:tcPr>
            <w:tcW w:w="847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 w14:paraId="2D54A10B">
            <w:pPr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32"/>
                <w:szCs w:val="32"/>
                <w:lang w:eastAsia="ru-RU"/>
              </w:rPr>
              <w:t>компьютерной безопасности</w:t>
            </w:r>
          </w:p>
        </w:tc>
      </w:tr>
    </w:tbl>
    <w:p w14:paraId="441C77A2">
      <w:pPr>
        <w:spacing w:after="0" w:line="240" w:lineRule="auto"/>
        <w:rPr>
          <w:rFonts w:ascii="Times New Roman" w:hAnsi="Times New Roman" w:eastAsia="Calibri" w:cs="Times New Roman"/>
          <w:sz w:val="32"/>
          <w:szCs w:val="32"/>
          <w:lang w:eastAsia="ru-RU"/>
        </w:rPr>
      </w:pPr>
    </w:p>
    <w:p w14:paraId="00892FA8">
      <w:pPr>
        <w:spacing w:after="0" w:line="240" w:lineRule="auto"/>
        <w:rPr>
          <w:rFonts w:ascii="Times New Roman" w:hAnsi="Times New Roman" w:eastAsia="Calibri" w:cs="Times New Roman"/>
          <w:sz w:val="32"/>
          <w:szCs w:val="32"/>
          <w:lang w:eastAsia="ru-RU"/>
        </w:rPr>
      </w:pPr>
    </w:p>
    <w:p w14:paraId="29F5E738">
      <w:pPr>
        <w:spacing w:after="0" w:line="240" w:lineRule="auto"/>
        <w:rPr>
          <w:rFonts w:ascii="Times New Roman" w:hAnsi="Times New Roman" w:eastAsia="Calibri" w:cs="Times New Roman"/>
          <w:sz w:val="32"/>
          <w:szCs w:val="32"/>
          <w:lang w:eastAsia="ru-RU"/>
        </w:rPr>
      </w:pPr>
    </w:p>
    <w:p w14:paraId="59B4291C">
      <w:pPr>
        <w:spacing w:after="0" w:line="240" w:lineRule="auto"/>
        <w:jc w:val="center"/>
        <w:rPr>
          <w:rFonts w:ascii="Times New Roman" w:hAnsi="Times New Roman" w:eastAsia="Times New Roman" w:cs="Times New Roman"/>
          <w:sz w:val="32"/>
          <w:szCs w:val="32"/>
          <w:lang w:eastAsia="ru-RU"/>
        </w:rPr>
      </w:pPr>
      <w:r>
        <w:rPr>
          <w:rFonts w:ascii="Times New Roman" w:hAnsi="Times New Roman" w:eastAsia="Times New Roman" w:cs="Times New Roman"/>
          <w:sz w:val="32"/>
          <w:szCs w:val="32"/>
          <w:lang w:eastAsia="ru-RU"/>
        </w:rPr>
        <w:t>ОТЧЕТ</w:t>
      </w:r>
    </w:p>
    <w:p w14:paraId="32D20276">
      <w:pPr>
        <w:tabs>
          <w:tab w:val="left" w:pos="5529"/>
        </w:tabs>
        <w:spacing w:after="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ЛАБОРАТОРНАЯ РАБОТА 11. </w:t>
      </w:r>
    </w:p>
    <w:p w14:paraId="44413D25">
      <w:pPr>
        <w:tabs>
          <w:tab w:val="left" w:pos="5529"/>
        </w:tabs>
        <w:spacing w:after="0" w:line="240" w:lineRule="auto"/>
        <w:jc w:val="center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АНАЛИЗ МНОГОМЕРНЫХ ДАННЫХ С ИСПОЛЬЗОВАНИЕМ МЕТОДОВ СНИЖЕНИЯ РАЗМЕРНОСТИ </w:t>
      </w:r>
    </w:p>
    <w:p w14:paraId="31DDBD95">
      <w:pPr>
        <w:tabs>
          <w:tab w:val="left" w:pos="5529"/>
        </w:tabs>
        <w:spacing w:after="0" w:line="240" w:lineRule="auto"/>
        <w:jc w:val="center"/>
        <w:rPr>
          <w:rFonts w:hint="default" w:ascii="Times New Roman" w:hAnsi="Times New Roman" w:cs="Times New Roman"/>
          <w:sz w:val="28"/>
          <w:szCs w:val="28"/>
          <w:lang w:eastAsia="ru-RU"/>
        </w:rPr>
      </w:pPr>
    </w:p>
    <w:p w14:paraId="164E0BB5">
      <w:pPr>
        <w:tabs>
          <w:tab w:val="left" w:pos="5529"/>
        </w:tabs>
        <w:spacing w:after="0" w:line="240" w:lineRule="auto"/>
        <w:ind w:left="4536"/>
        <w:rPr>
          <w:rFonts w:ascii="Times New Roman" w:hAnsi="Times New Roman" w:eastAsia="Calibri" w:cs="Times New Roman"/>
          <w:sz w:val="32"/>
          <w:szCs w:val="32"/>
          <w:lang w:eastAsia="ru-RU"/>
        </w:rPr>
      </w:pPr>
      <w:r>
        <w:rPr>
          <w:rFonts w:ascii="Times New Roman" w:hAnsi="Times New Roman" w:eastAsia="Calibri" w:cs="Times New Roman"/>
          <w:sz w:val="32"/>
          <w:szCs w:val="32"/>
          <w:lang w:eastAsia="ru-RU"/>
        </w:rPr>
        <w:t>Выполнил:</w:t>
      </w:r>
      <w:r>
        <w:rPr>
          <w:rFonts w:hint="default" w:ascii="Times New Roman" w:hAnsi="Times New Roman" w:eastAsia="Calibri" w:cs="Times New Roman"/>
          <w:sz w:val="32"/>
          <w:szCs w:val="32"/>
          <w:lang w:val="en-US" w:eastAsia="ru-RU"/>
        </w:rPr>
        <w:t xml:space="preserve"> </w:t>
      </w:r>
      <w:r>
        <w:rPr>
          <w:rFonts w:hint="default" w:ascii="Times New Roman" w:hAnsi="Times New Roman" w:eastAsia="Calibri" w:cs="Times New Roman"/>
          <w:sz w:val="32"/>
          <w:szCs w:val="32"/>
          <w:lang w:val="ru-RU" w:eastAsia="ru-RU"/>
        </w:rPr>
        <w:t>Окунев</w:t>
      </w:r>
      <w:r>
        <w:rPr>
          <w:rFonts w:hint="default" w:ascii="Times New Roman" w:hAnsi="Times New Roman" w:eastAsia="Calibri" w:cs="Times New Roman"/>
          <w:sz w:val="32"/>
          <w:szCs w:val="32"/>
          <w:lang w:val="en-US" w:eastAsia="ru-RU"/>
        </w:rPr>
        <w:t xml:space="preserve"> Николай Александрович</w:t>
      </w:r>
      <w:r>
        <w:rPr>
          <w:rFonts w:ascii="Times New Roman" w:hAnsi="Times New Roman" w:eastAsia="Calibri" w:cs="Times New Roman"/>
          <w:sz w:val="32"/>
          <w:szCs w:val="32"/>
          <w:lang w:eastAsia="ru-RU"/>
        </w:rPr>
        <w:t>,</w:t>
      </w:r>
    </w:p>
    <w:p w14:paraId="4B23D454">
      <w:pPr>
        <w:tabs>
          <w:tab w:val="left" w:pos="5529"/>
        </w:tabs>
        <w:spacing w:after="0" w:line="240" w:lineRule="auto"/>
        <w:ind w:left="4536"/>
        <w:rPr>
          <w:rFonts w:ascii="Times New Roman" w:hAnsi="Times New Roman" w:eastAsia="Calibri" w:cs="Times New Roman"/>
          <w:sz w:val="32"/>
          <w:szCs w:val="32"/>
          <w:lang w:eastAsia="ru-RU"/>
        </w:rPr>
      </w:pPr>
      <w:r>
        <w:rPr>
          <w:rFonts w:ascii="Times New Roman" w:hAnsi="Times New Roman" w:eastAsia="Calibri" w:cs="Times New Roman"/>
          <w:sz w:val="32"/>
          <w:szCs w:val="32"/>
          <w:lang w:eastAsia="ru-RU"/>
        </w:rPr>
        <w:t>студент 2 курса</w:t>
      </w:r>
    </w:p>
    <w:p w14:paraId="38956F7C">
      <w:pPr>
        <w:tabs>
          <w:tab w:val="left" w:pos="5529"/>
        </w:tabs>
        <w:spacing w:after="0" w:line="240" w:lineRule="auto"/>
        <w:ind w:left="4536"/>
        <w:rPr>
          <w:rFonts w:ascii="Times New Roman" w:hAnsi="Times New Roman" w:eastAsia="Calibri" w:cs="Times New Roman"/>
          <w:sz w:val="32"/>
          <w:szCs w:val="32"/>
          <w:lang w:eastAsia="ru-RU"/>
        </w:rPr>
      </w:pPr>
      <w:r>
        <w:rPr>
          <w:rFonts w:ascii="Times New Roman" w:hAnsi="Times New Roman" w:eastAsia="Calibri" w:cs="Times New Roman"/>
          <w:sz w:val="32"/>
          <w:szCs w:val="32"/>
          <w:lang w:eastAsia="ru-RU"/>
        </w:rPr>
        <w:t>группы КМБ-с-о-23-1</w:t>
      </w:r>
    </w:p>
    <w:p w14:paraId="57E2C123">
      <w:pPr>
        <w:spacing w:after="0" w:line="240" w:lineRule="auto"/>
        <w:jc w:val="right"/>
        <w:rPr>
          <w:rFonts w:ascii="Times New Roman" w:hAnsi="Times New Roman" w:eastAsia="Calibri" w:cs="Times New Roman"/>
          <w:sz w:val="32"/>
          <w:szCs w:val="32"/>
          <w:lang w:eastAsia="ru-RU"/>
        </w:rPr>
      </w:pPr>
      <w:r>
        <w:rPr>
          <w:rFonts w:ascii="Times New Roman" w:hAnsi="Times New Roman" w:eastAsia="Calibri" w:cs="Times New Roman"/>
          <w:sz w:val="32"/>
          <w:szCs w:val="32"/>
          <w:lang w:eastAsia="ru-RU"/>
        </w:rPr>
        <w:t>______________________________</w:t>
      </w:r>
    </w:p>
    <w:p w14:paraId="3118346E">
      <w:pPr>
        <w:spacing w:after="0" w:line="240" w:lineRule="auto"/>
        <w:jc w:val="right"/>
        <w:rPr>
          <w:rFonts w:ascii="Times New Roman" w:hAnsi="Times New Roman" w:eastAsia="Calibri" w:cs="Times New Roman"/>
          <w:sz w:val="32"/>
          <w:szCs w:val="32"/>
          <w:lang w:eastAsia="ru-RU"/>
        </w:rPr>
      </w:pPr>
      <w:r>
        <w:rPr>
          <w:rFonts w:ascii="Times New Roman" w:hAnsi="Times New Roman" w:eastAsia="Calibri" w:cs="Times New Roman"/>
          <w:sz w:val="32"/>
          <w:szCs w:val="32"/>
          <w:lang w:eastAsia="ru-RU"/>
        </w:rPr>
        <w:t>«____» __________________2025 г.</w:t>
      </w:r>
    </w:p>
    <w:p w14:paraId="08A03C34">
      <w:pPr>
        <w:spacing w:after="0" w:line="240" w:lineRule="auto"/>
        <w:jc w:val="right"/>
        <w:rPr>
          <w:rFonts w:ascii="Times New Roman" w:hAnsi="Times New Roman" w:eastAsia="Calibri" w:cs="Times New Roman"/>
          <w:sz w:val="32"/>
          <w:szCs w:val="32"/>
          <w:lang w:eastAsia="ru-RU"/>
        </w:rPr>
      </w:pPr>
    </w:p>
    <w:p w14:paraId="06323B03">
      <w:pPr>
        <w:spacing w:after="0" w:line="240" w:lineRule="auto"/>
        <w:jc w:val="right"/>
        <w:rPr>
          <w:rFonts w:ascii="Times New Roman" w:hAnsi="Times New Roman" w:eastAsia="Calibri" w:cs="Times New Roman"/>
          <w:sz w:val="32"/>
          <w:szCs w:val="32"/>
          <w:lang w:eastAsia="ru-RU"/>
        </w:rPr>
      </w:pPr>
    </w:p>
    <w:p w14:paraId="500E8455">
      <w:pPr>
        <w:spacing w:after="0" w:line="240" w:lineRule="auto"/>
        <w:jc w:val="right"/>
        <w:rPr>
          <w:rFonts w:ascii="Times New Roman" w:hAnsi="Times New Roman" w:eastAsia="Calibri" w:cs="Times New Roman"/>
          <w:sz w:val="32"/>
          <w:szCs w:val="32"/>
          <w:lang w:eastAsia="ru-RU"/>
        </w:rPr>
      </w:pPr>
    </w:p>
    <w:p w14:paraId="57F78B17">
      <w:pPr>
        <w:spacing w:after="0" w:line="240" w:lineRule="auto"/>
        <w:jc w:val="right"/>
        <w:rPr>
          <w:rFonts w:ascii="Times New Roman" w:hAnsi="Times New Roman" w:eastAsia="Calibri" w:cs="Times New Roman"/>
          <w:sz w:val="32"/>
          <w:szCs w:val="32"/>
          <w:lang w:eastAsia="ru-RU"/>
        </w:rPr>
      </w:pPr>
      <w:r>
        <w:rPr>
          <w:rFonts w:ascii="Times New Roman" w:hAnsi="Times New Roman" w:eastAsia="Calibri" w:cs="Times New Roman"/>
          <w:sz w:val="32"/>
          <w:szCs w:val="32"/>
          <w:lang w:eastAsia="ru-RU"/>
        </w:rPr>
        <w:t>Проверено с оценкой:</w:t>
      </w:r>
    </w:p>
    <w:p w14:paraId="4E9FE5DE">
      <w:pPr>
        <w:spacing w:after="0" w:line="240" w:lineRule="auto"/>
        <w:jc w:val="right"/>
        <w:rPr>
          <w:rFonts w:ascii="Times New Roman" w:hAnsi="Times New Roman" w:eastAsia="Calibri" w:cs="Times New Roman"/>
          <w:sz w:val="32"/>
          <w:szCs w:val="32"/>
          <w:lang w:eastAsia="ru-RU"/>
        </w:rPr>
      </w:pPr>
      <w:r>
        <w:rPr>
          <w:rFonts w:ascii="Times New Roman" w:hAnsi="Times New Roman" w:eastAsia="Calibri" w:cs="Times New Roman"/>
          <w:sz w:val="32"/>
          <w:szCs w:val="32"/>
          <w:lang w:eastAsia="ru-RU"/>
        </w:rPr>
        <w:t>______________________________</w:t>
      </w:r>
    </w:p>
    <w:p w14:paraId="674260CB">
      <w:pPr>
        <w:spacing w:after="0" w:line="240" w:lineRule="auto"/>
        <w:jc w:val="right"/>
        <w:rPr>
          <w:rFonts w:ascii="Times New Roman" w:hAnsi="Times New Roman" w:eastAsia="Calibri" w:cs="Times New Roman"/>
          <w:sz w:val="32"/>
          <w:szCs w:val="32"/>
          <w:lang w:eastAsia="ru-RU"/>
        </w:rPr>
      </w:pPr>
      <w:r>
        <w:rPr>
          <w:rFonts w:ascii="Times New Roman" w:hAnsi="Times New Roman" w:eastAsia="Calibri" w:cs="Times New Roman"/>
          <w:sz w:val="32"/>
          <w:szCs w:val="32"/>
          <w:lang w:eastAsia="ru-RU"/>
        </w:rPr>
        <w:t>______________________________</w:t>
      </w:r>
    </w:p>
    <w:p w14:paraId="0275CFE2">
      <w:pPr>
        <w:spacing w:after="0" w:line="240" w:lineRule="auto"/>
        <w:jc w:val="right"/>
        <w:rPr>
          <w:rFonts w:ascii="Times New Roman" w:hAnsi="Times New Roman" w:eastAsia="Calibri" w:cs="Times New Roman"/>
          <w:sz w:val="32"/>
          <w:szCs w:val="32"/>
          <w:lang w:eastAsia="ru-RU"/>
        </w:rPr>
      </w:pPr>
      <w:r>
        <w:rPr>
          <w:rFonts w:ascii="Times New Roman" w:hAnsi="Times New Roman" w:eastAsia="Calibri" w:cs="Times New Roman"/>
          <w:sz w:val="32"/>
          <w:szCs w:val="32"/>
          <w:lang w:eastAsia="ru-RU"/>
        </w:rPr>
        <w:t>______________________________</w:t>
      </w:r>
    </w:p>
    <w:p w14:paraId="7CB4D4FC">
      <w:pPr>
        <w:spacing w:after="0" w:line="240" w:lineRule="auto"/>
        <w:jc w:val="right"/>
        <w:rPr>
          <w:rFonts w:ascii="Times New Roman" w:hAnsi="Times New Roman" w:eastAsia="Calibri" w:cs="Times New Roman"/>
          <w:sz w:val="32"/>
          <w:szCs w:val="32"/>
          <w:lang w:eastAsia="ru-RU"/>
        </w:rPr>
      </w:pPr>
      <w:r>
        <w:rPr>
          <w:rFonts w:ascii="Times New Roman" w:hAnsi="Times New Roman" w:eastAsia="Calibri" w:cs="Times New Roman"/>
          <w:sz w:val="32"/>
          <w:szCs w:val="32"/>
          <w:lang w:eastAsia="ru-RU"/>
        </w:rPr>
        <w:t>______________________________</w:t>
      </w:r>
    </w:p>
    <w:p w14:paraId="4AFFC731">
      <w:pPr>
        <w:spacing w:after="0" w:line="240" w:lineRule="auto"/>
        <w:jc w:val="right"/>
        <w:rPr>
          <w:rFonts w:ascii="Times New Roman" w:hAnsi="Times New Roman" w:eastAsia="Calibri" w:cs="Times New Roman"/>
          <w:sz w:val="32"/>
          <w:szCs w:val="32"/>
          <w:lang w:eastAsia="ru-RU"/>
        </w:rPr>
      </w:pPr>
      <w:r>
        <w:rPr>
          <w:rFonts w:ascii="Times New Roman" w:hAnsi="Times New Roman" w:eastAsia="Calibri" w:cs="Times New Roman"/>
          <w:sz w:val="32"/>
          <w:szCs w:val="32"/>
          <w:lang w:eastAsia="ru-RU"/>
        </w:rPr>
        <w:t>«____» __________________2025 г.</w:t>
      </w:r>
    </w:p>
    <w:p w14:paraId="518991C5">
      <w:pPr>
        <w:spacing w:after="0" w:line="240" w:lineRule="auto"/>
        <w:jc w:val="right"/>
        <w:rPr>
          <w:rFonts w:ascii="Times New Roman" w:hAnsi="Times New Roman" w:eastAsia="Calibri" w:cs="Times New Roman"/>
          <w:sz w:val="32"/>
          <w:szCs w:val="32"/>
          <w:lang w:eastAsia="ru-RU"/>
        </w:rPr>
      </w:pPr>
    </w:p>
    <w:p w14:paraId="78FCB8B5">
      <w:pPr>
        <w:spacing w:after="0" w:line="240" w:lineRule="auto"/>
        <w:rPr>
          <w:rFonts w:ascii="Times New Roman" w:hAnsi="Times New Roman" w:eastAsia="Calibri" w:cs="Times New Roman"/>
          <w:sz w:val="32"/>
          <w:szCs w:val="32"/>
          <w:lang w:eastAsia="ru-RU"/>
        </w:rPr>
      </w:pPr>
    </w:p>
    <w:p w14:paraId="6EBC861A">
      <w:pPr>
        <w:spacing w:after="0" w:line="240" w:lineRule="auto"/>
        <w:jc w:val="center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32"/>
          <w:szCs w:val="32"/>
          <w:lang w:eastAsia="ru-RU"/>
        </w:rPr>
        <w:t>Ставрополь, 2025</w:t>
      </w:r>
    </w:p>
    <w:p w14:paraId="06DEA49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2157168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Цели и задачи</w:t>
      </w:r>
    </w:p>
    <w:p w14:paraId="65A3C4B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Цель лабораторной работы: научиться применять обучаемые алгоритмы снижения размерности для визуализации наборов данных сбольшой размерности. Основные задачи: – получение навыков рефакторинга кода в проектах машинного обучения; – получение навыков по использованию обучаемых алгоритмов снимжения размерности; – получение навыков по аргументрированному выбору и анализу алгоритмов снижения размерности. </w:t>
      </w:r>
    </w:p>
    <w:p w14:paraId="2C56F484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Теоретическое обоснование</w:t>
      </w:r>
    </w:p>
    <w:p w14:paraId="6F4793B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Необходимо повторить теоретический материал работы 10.</w:t>
      </w:r>
    </w:p>
    <w:p w14:paraId="3EF859E5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Методика и порядок выполнения работы</w:t>
      </w:r>
    </w:p>
    <w:p w14:paraId="0F6D343A"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 w:firstLine="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Учебная задача Задание. На основе предоставленного набора данных Fashion-MNIST выполните снижение размерности. Исходный набор данных содержит изображения размером 28x28. Для понимания структуры данных, понимания возможности их использования для решения задач кластеризации, классификации, необходимо выполнить визуализацию данных изображений с отображения расстояния между отдельными экземплярами. </w:t>
      </w:r>
    </w:p>
    <w:p w14:paraId="77426BE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Решение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71E70BC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center"/>
        <w:textAlignment w:val="auto"/>
      </w:pPr>
      <w:r>
        <w:drawing>
          <wp:inline distT="0" distB="0" distL="114300" distR="114300">
            <wp:extent cx="5273675" cy="5588635"/>
            <wp:effectExtent l="0" t="0" r="14605" b="444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8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968C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1 - Подключение библиотек и датасета.</w:t>
      </w:r>
    </w:p>
    <w:p w14:paraId="0C74A34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3F718B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both"/>
        <w:textAlignment w:val="auto"/>
      </w:pPr>
      <w:r>
        <w:drawing>
          <wp:inline distT="0" distB="0" distL="114300" distR="114300">
            <wp:extent cx="5267960" cy="4807585"/>
            <wp:effectExtent l="0" t="0" r="5080" b="825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0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F4F2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2 - подготовка датасета</w:t>
      </w:r>
    </w:p>
    <w:p w14:paraId="30D2D10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center"/>
        <w:textAlignment w:val="auto"/>
      </w:pPr>
      <w:r>
        <w:drawing>
          <wp:inline distT="0" distB="0" distL="114300" distR="114300">
            <wp:extent cx="5270500" cy="4852670"/>
            <wp:effectExtent l="0" t="0" r="2540" b="889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5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416C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3 -вывод содержимого датасета и тэгов</w:t>
      </w:r>
    </w:p>
    <w:p w14:paraId="1483BA4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1FFC4A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center"/>
        <w:textAlignment w:val="auto"/>
      </w:pPr>
      <w:r>
        <w:drawing>
          <wp:inline distT="0" distB="0" distL="114300" distR="114300">
            <wp:extent cx="5271135" cy="3348990"/>
            <wp:effectExtent l="0" t="0" r="1905" b="3810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CB98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4 - анализируем главные компоненты</w:t>
      </w:r>
    </w:p>
    <w:p w14:paraId="531CD26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center"/>
        <w:textAlignment w:val="auto"/>
      </w:pPr>
      <w:r>
        <w:drawing>
          <wp:inline distT="0" distB="0" distL="114300" distR="114300">
            <wp:extent cx="5271135" cy="4048760"/>
            <wp:effectExtent l="0" t="0" r="1905" b="5080"/>
            <wp:docPr id="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5FA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5 - начальный датасет</w:t>
      </w:r>
    </w:p>
    <w:p w14:paraId="490D038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center"/>
        <w:textAlignment w:val="auto"/>
      </w:pPr>
      <w:r>
        <w:drawing>
          <wp:inline distT="0" distB="0" distL="114300" distR="114300">
            <wp:extent cx="5268595" cy="3249295"/>
            <wp:effectExtent l="0" t="0" r="4445" b="12065"/>
            <wp:docPr id="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5C2B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6 - центровка датасета перед сниженем размерности</w:t>
      </w:r>
    </w:p>
    <w:p w14:paraId="4D60A5E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center"/>
        <w:textAlignment w:val="auto"/>
      </w:pPr>
      <w:r>
        <w:drawing>
          <wp:inline distT="0" distB="0" distL="114300" distR="114300">
            <wp:extent cx="5269230" cy="4030345"/>
            <wp:effectExtent l="0" t="0" r="3810" b="8255"/>
            <wp:docPr id="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0CC8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7 - полученный датасет с пониженной размерностью</w:t>
      </w:r>
    </w:p>
    <w:p w14:paraId="6F6BC9A2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B00EC02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5C62B94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CEA9DFB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4C8F648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Контрольные вопросы</w:t>
      </w:r>
    </w:p>
    <w:p w14:paraId="3054B6A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1)</w:t>
      </w:r>
      <w:r>
        <w:rPr>
          <w:rFonts w:hint="default" w:ascii="Times New Roman" w:hAnsi="Times New Roman" w:cs="Times New Roman"/>
          <w:sz w:val="28"/>
          <w:szCs w:val="28"/>
        </w:rPr>
        <w:t>Что такое проклятие размерности?</w:t>
      </w:r>
    </w:p>
    <w:p w14:paraId="3E66157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"Проклятие размерности" (Curse of Dimensionality) — это явление, которое возникает при работе с данными высокой размерности. Оно заключается в том, что с увеличением количества признаков (размерности) объем пространства данных экспоненциально увеличивается, что приводит к ряду проблем: </w:t>
      </w:r>
    </w:p>
    <w:p w14:paraId="4E679AA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Разреженность данных: Данные становятся более разреженными, то есть расстояния между объектами увеличиваются, и объекты становятся менее похожими друг на друга.</w:t>
      </w:r>
    </w:p>
    <w:p w14:paraId="5FF6EA7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Переобучение: Модели машинного обучения становятся более склонными к переобучению, так как они могут запомнить шум в данных.</w:t>
      </w:r>
    </w:p>
    <w:p w14:paraId="1BB600F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Вычислительная сложность: Вычислительная сложность алгоритмов увеличивается экспоненциально с ростом размерности.</w:t>
      </w:r>
    </w:p>
    <w:p w14:paraId="0CBD6A7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Визуализация: Визуализация данных становится невозможной при размерности больше 3.</w:t>
      </w:r>
    </w:p>
    <w:p w14:paraId="03D7D0D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2)</w:t>
      </w:r>
      <w:r>
        <w:rPr>
          <w:rFonts w:hint="default" w:ascii="Times New Roman" w:hAnsi="Times New Roman" w:cs="Times New Roman"/>
          <w:sz w:val="28"/>
          <w:szCs w:val="28"/>
        </w:rPr>
        <w:t>Перечислите основные алгоритмы понижения размерности.</w:t>
      </w:r>
    </w:p>
    <w:p w14:paraId="6C2A765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Существует много разных алгоритмов понижения размерности, вот некоторые из основных: </w:t>
      </w:r>
    </w:p>
    <w:p w14:paraId="4A30D77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PCA (Principal Component Analysis): Метод главных компонент.</w:t>
      </w:r>
    </w:p>
    <w:p w14:paraId="2CAF358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t-SNE (t-distributed Stochastic Neighbor Embedding): t-распределенное стохастическое вложение соседей.</w:t>
      </w:r>
    </w:p>
    <w:p w14:paraId="5E9D862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LDA (Linear Discriminant Analysis): Линейный дискриминантный анализ.</w:t>
      </w:r>
    </w:p>
    <w:p w14:paraId="2E9BC3C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NMF (Non-negative Matrix Factorization): Неотрицательная матричная факторизация.</w:t>
      </w:r>
    </w:p>
    <w:p w14:paraId="04DBF35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Autoencoders: Автокодировщики (нейронные сети).</w:t>
      </w:r>
    </w:p>
    <w:p w14:paraId="2D527AB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ICA (Independent Component Analysis): Независимый компонентный анализ.</w:t>
      </w:r>
    </w:p>
    <w:p w14:paraId="138B62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3)</w:t>
      </w:r>
      <w:r>
        <w:rPr>
          <w:rFonts w:hint="default" w:ascii="Times New Roman" w:hAnsi="Times New Roman" w:cs="Times New Roman"/>
          <w:sz w:val="28"/>
          <w:szCs w:val="28"/>
        </w:rPr>
        <w:t>Опишите алгоритм и основную идею метода PCA.</w:t>
      </w:r>
    </w:p>
    <w:p w14:paraId="660351C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Основная идея PCA: PCA — это метод, который используется для уменьшения размерности данных путем нахождения главных компонент. Главные компоненты — это новые признаки, которые являются линейными комбинациями исходных признаков и объясняют наибольшую дисперсию в данных. Алгоритм PCA:</w:t>
      </w:r>
    </w:p>
    <w:p w14:paraId="0E06E8A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Стандартизация данных: Исходные данные стандартизируются, чтобы иметь нулевое среднее и единичную дисперсию.</w:t>
      </w:r>
    </w:p>
    <w:p w14:paraId="2CE07C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Вычисление ковариационной матрицы: Вычисляется ковариационная матрица для стандартизированных данных.</w:t>
      </w:r>
    </w:p>
    <w:p w14:paraId="4FEDA2A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Вычисление собственных векторов и собственных значений: Вычисляются собственные векторы и собственные значения ковариационной матрицы.</w:t>
      </w:r>
    </w:p>
    <w:p w14:paraId="6794488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Сортировка собственных значений: Собственные значения сортируются в порядке убывания.</w:t>
      </w:r>
    </w:p>
    <w:p w14:paraId="477FE95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Выбор главных компонент: Выбираются k собственных векторов, соответствующих k наибольшим собственным значениям. Эти собственные векторы называются главными компонентами.</w:t>
      </w:r>
    </w:p>
    <w:p w14:paraId="11D9470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Проецирование данных на главные компоненты: Исходные данные проецируются на главные компоненты, чтобы получить данные в новом пространстве меньшей размерности.</w:t>
      </w:r>
    </w:p>
    <w:p w14:paraId="7364BFC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4)</w:t>
      </w:r>
      <w:r>
        <w:rPr>
          <w:rFonts w:hint="default" w:ascii="Times New Roman" w:hAnsi="Times New Roman" w:cs="Times New Roman"/>
          <w:sz w:val="28"/>
          <w:szCs w:val="28"/>
        </w:rPr>
        <w:t>Опишите концепцию метода t-SNE.</w:t>
      </w:r>
    </w:p>
    <w:p w14:paraId="294856F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Концепция t-SNE: t-SNE — это метод понижения размерности, который особенно хорошо подходит для визуализации данных высокой размерности. </w:t>
      </w:r>
    </w:p>
    <w:p w14:paraId="21A9F20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Сохранение локальной структуры: t-SNE пытается сохранить локальную структуру данных, то есть объекты, которые близки друг к другу в исходном пространстве, должны быть близки друг к другу и в пространстве меньшей размерности.</w:t>
      </w:r>
    </w:p>
    <w:p w14:paraId="0CDB54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Вероятностное моделирование: t-SNE использует вероятностное моделирование для определения схожести между объектами.</w:t>
      </w:r>
    </w:p>
    <w:p w14:paraId="4B8F19B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t-распределение: t-SNE использует t-распределение Стьюдента для моделирования расстояний между объектами в пространстве меньшей размерности. Это позволяет уменьшить эффект "скученности" объектов в центре пространства.</w:t>
      </w:r>
    </w:p>
    <w:p w14:paraId="0FF47B8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В отличие от PCA, t-SNE является нелинейным методом, что позволяет ему обнаруживать более сложные структуры в данных. Однако, t-SNE является вычислительно сложным алгоритмом и может потребовать много времени для обучения на больших наборах данных.</w:t>
      </w:r>
    </w:p>
    <w:p w14:paraId="0FCF2CE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5)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Теоретический предел: В теории, предел снижения размерности определяется количеством информации, содержащейся в данных. Если мы уменьшим размерность до такой степени, что потеряем важную информацию, то модель потеряет свою предсказательную способность. Практический предел: На практике, предел снижения размерности зависит от конкретной задачи и данных. </w:t>
      </w:r>
    </w:p>
    <w:p w14:paraId="734707B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Визуализация: Если цель — визуализация данных, то обычно уменьшают размерность до 2 или 3.</w:t>
      </w:r>
    </w:p>
    <w:p w14:paraId="347292F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Улучшение производительности: Если цель — улучшение производительности модели, то уменьшают размерность до тех пор, пока не будет достигнут оптимальный баланс между производительностью и точностью.</w:t>
      </w:r>
    </w:p>
    <w:p w14:paraId="51ADB47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Сохранение информации: Если цель — сохранить как можно больше информации, то уменьшают размерность до тех пор, пока не будет потеряно значительное количество дисперсии (например, при использовании PCA).</w:t>
      </w:r>
    </w:p>
    <w:p w14:paraId="518FA3D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left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Вывод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4788EC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</w:t>
      </w:r>
      <w:r>
        <w:rPr>
          <w:rFonts w:hint="default" w:ascii="Times New Roman" w:hAnsi="Times New Roman" w:cs="Times New Roman"/>
          <w:sz w:val="28"/>
          <w:szCs w:val="28"/>
        </w:rPr>
        <w:t>а</w:t>
      </w:r>
      <w:bookmarkStart w:id="1" w:name="_GoBack"/>
      <w:bookmarkEnd w:id="1"/>
      <w:r>
        <w:rPr>
          <w:rFonts w:hint="default" w:ascii="Times New Roman" w:hAnsi="Times New Roman" w:cs="Times New Roman"/>
          <w:sz w:val="28"/>
          <w:szCs w:val="28"/>
        </w:rPr>
        <w:t>учи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лись</w:t>
      </w:r>
      <w:r>
        <w:rPr>
          <w:rFonts w:hint="default" w:ascii="Times New Roman" w:hAnsi="Times New Roman" w:cs="Times New Roman"/>
          <w:sz w:val="28"/>
          <w:szCs w:val="28"/>
        </w:rPr>
        <w:t xml:space="preserve"> применять обучаемые алгоритмы снижения размерности для визуализации наборов данных с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большой размерности.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459DBA1"/>
    <w:multiLevelType w:val="multilevel"/>
    <w:tmpl w:val="4459DBA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7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7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7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7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7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7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7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70" w:leftChars="0" w:firstLine="0" w:firstLineChars="0"/>
      </w:pPr>
      <w:rPr>
        <w:rFonts w:hint="default"/>
      </w:rPr>
    </w:lvl>
  </w:abstractNum>
  <w:abstractNum w:abstractNumId="1">
    <w:nsid w:val="635A6A96"/>
    <w:multiLevelType w:val="multilevel"/>
    <w:tmpl w:val="635A6A96"/>
    <w:lvl w:ilvl="0" w:tentative="0">
      <w:start w:val="2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8F25456"/>
    <w:rsid w:val="57AA10B8"/>
    <w:rsid w:val="746B0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2025-03-31T12:22:00Z</dcterms:created>
  <dc:creator>shuts</dc:creator>
  <cp:lastModifiedBy>shuts</cp:lastModifiedBy>
  <dcterms:modified xsi:type="dcterms:W3CDTF">2025-04-03T15:21:07Z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1049-12.2.0.20782</vt:lpwstr>
  </property>
  <property fmtid="{D5CDD505-2E9C-101B-9397-08002B2CF9AE}" pid="3" name="ICV">
    <vt:lpwstr>D84AB4B7B16E4CE7B0DCD883578E8DA2_12</vt:lpwstr>
  </property>
</Properties>
</file>