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356" w:type="dxa"/>
        <w:tblInd w:w="-2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98"/>
        <w:gridCol w:w="8358"/>
      </w:tblGrid>
      <w:tr>
        <w:tc>
          <w:tcPr>
            <w:tcW w:w="993" w:type="dxa"/>
            <w:tcBorders>
              <w:top w:val="single" w:color="auto" w:sz="4" w:space="0"/>
            </w:tcBorders>
          </w:tcPr>
          <w:p>
            <w:pPr>
              <w:spacing w:after="0" w:line="240" w:lineRule="auto"/>
              <w:rPr>
                <w:b/>
                <w:sz w:val="20"/>
                <w:szCs w:val="20"/>
              </w:rPr>
            </w:pPr>
            <w:r>
              <w:rPr>
                <w:b/>
                <w:sz w:val="20"/>
                <w:szCs w:val="20"/>
              </w:rPr>
              <w:t>To:</w:t>
            </w:r>
          </w:p>
        </w:tc>
        <w:tc>
          <w:tcPr>
            <w:tcW w:w="8363" w:type="dxa"/>
            <w:tcBorders>
              <w:top w:val="single" w:color="auto" w:sz="4" w:space="0"/>
            </w:tcBorders>
          </w:tcPr>
          <w:p>
            <w:pPr>
              <w:keepNext w:val="0"/>
              <w:keepLines w:val="0"/>
              <w:widowControl/>
              <w:suppressLineNumbers w:val="0"/>
              <w:jc w:val="left"/>
              <w:rPr>
                <w:sz w:val="20"/>
                <w:szCs w:val="20"/>
              </w:rPr>
            </w:pPr>
            <w:r>
              <w:rPr>
                <w:rFonts w:hint="default" w:ascii="Calibri" w:hAnsi="Calibri" w:eastAsia="SimSun" w:cs="Calibri"/>
                <w:kern w:val="0"/>
                <w:sz w:val="24"/>
                <w:szCs w:val="24"/>
                <w:lang w:val="en-US" w:eastAsia="zh-CN" w:bidi="ar"/>
              </w:rPr>
              <w:t>Anna</w:t>
            </w:r>
          </w:p>
        </w:tc>
      </w:tr>
      <w:tr>
        <w:tc>
          <w:tcPr>
            <w:tcW w:w="993" w:type="dxa"/>
          </w:tcPr>
          <w:p>
            <w:pPr>
              <w:spacing w:after="0" w:line="240" w:lineRule="auto"/>
              <w:rPr>
                <w:b/>
                <w:sz w:val="20"/>
                <w:szCs w:val="20"/>
              </w:rPr>
            </w:pPr>
            <w:r>
              <w:rPr>
                <w:b/>
                <w:sz w:val="20"/>
                <w:szCs w:val="20"/>
              </w:rPr>
              <w:t>From:</w:t>
            </w:r>
          </w:p>
        </w:tc>
        <w:tc>
          <w:tcPr>
            <w:tcW w:w="8363" w:type="dxa"/>
          </w:tcPr>
          <w:p>
            <w:pPr>
              <w:spacing w:after="0" w:line="240" w:lineRule="auto"/>
              <w:rPr>
                <w:sz w:val="20"/>
                <w:szCs w:val="20"/>
              </w:rPr>
            </w:pPr>
            <w:r>
              <w:rPr>
                <w:sz w:val="24"/>
                <w:szCs w:val="24"/>
              </w:rPr>
              <w:t xml:space="preserve">Shuvam </w:t>
            </w:r>
          </w:p>
        </w:tc>
      </w:tr>
      <w:tr>
        <w:trPr>
          <w:trHeight w:val="320" w:hRule="atLeast"/>
        </w:trPr>
        <w:tc>
          <w:tcPr>
            <w:tcW w:w="993" w:type="dxa"/>
            <w:tcBorders>
              <w:bottom w:val="single" w:color="auto" w:sz="4" w:space="0"/>
            </w:tcBorders>
          </w:tcPr>
          <w:p>
            <w:pPr>
              <w:spacing w:after="0" w:line="240" w:lineRule="auto"/>
              <w:rPr>
                <w:b/>
                <w:sz w:val="20"/>
                <w:szCs w:val="20"/>
              </w:rPr>
            </w:pPr>
            <w:r>
              <w:rPr>
                <w:b/>
                <w:sz w:val="20"/>
                <w:szCs w:val="20"/>
              </w:rPr>
              <w:t>Subject:</w:t>
            </w:r>
          </w:p>
        </w:tc>
        <w:tc>
          <w:tcPr>
            <w:tcW w:w="8363" w:type="dxa"/>
            <w:tcBorders>
              <w:bottom w:val="single" w:color="auto" w:sz="4" w:space="0"/>
            </w:tcBorders>
          </w:tcPr>
          <w:p>
            <w:pPr>
              <w:keepNext w:val="0"/>
              <w:keepLines w:val="0"/>
              <w:widowControl/>
              <w:suppressLineNumbers w:val="0"/>
              <w:jc w:val="left"/>
              <w:rPr>
                <w:sz w:val="20"/>
                <w:szCs w:val="20"/>
              </w:rPr>
            </w:pPr>
            <w:r>
              <w:rPr>
                <w:rFonts w:ascii="SimSun" w:hAnsi="SimSun" w:eastAsia="SimSun" w:cs="SimSun"/>
                <w:kern w:val="0"/>
                <w:sz w:val="24"/>
                <w:szCs w:val="24"/>
                <w:lang w:val="en-US" w:eastAsia="zh-CN" w:bidi="ar"/>
              </w:rPr>
              <w:t>Potential M&amp;A Targets in Asia for WorldWide Brewing Co.</w:t>
            </w:r>
          </w:p>
        </w:tc>
      </w:tr>
      <w:tr>
        <w:trPr>
          <w:trHeight w:val="12760" w:hRule="atLeast"/>
        </w:trPr>
        <w:tc>
          <w:tcPr>
            <w:tcW w:w="9356" w:type="dxa"/>
            <w:gridSpan w:val="2"/>
            <w:tcBorders>
              <w:top w:val="single" w:color="auto" w:sz="4" w:space="0"/>
            </w:tcBorders>
          </w:tcPr>
          <w:p>
            <w:pPr>
              <w:spacing w:after="0" w:line="240" w:lineRule="auto"/>
              <w:rPr>
                <w:sz w:val="20"/>
                <w:szCs w:val="20"/>
              </w:rPr>
            </w:pPr>
          </w:p>
          <w:p>
            <w:pPr>
              <w:spacing w:after="0" w:line="240" w:lineRule="auto"/>
              <w:rPr>
                <w:rFonts w:hint="default"/>
                <w:sz w:val="20"/>
                <w:szCs w:val="20"/>
              </w:rPr>
            </w:pPr>
            <w:r>
              <w:rPr>
                <w:rFonts w:hint="default"/>
                <w:sz w:val="20"/>
                <w:szCs w:val="20"/>
              </w:rPr>
              <w:t>Dear Anna,</w:t>
            </w:r>
          </w:p>
          <w:p>
            <w:pPr>
              <w:spacing w:after="0" w:line="240" w:lineRule="auto"/>
              <w:rPr>
                <w:rFonts w:hint="default"/>
                <w:sz w:val="20"/>
                <w:szCs w:val="20"/>
              </w:rPr>
            </w:pPr>
          </w:p>
          <w:p>
            <w:pPr>
              <w:spacing w:after="0" w:line="240" w:lineRule="auto"/>
              <w:rPr>
                <w:sz w:val="20"/>
                <w:szCs w:val="20"/>
              </w:rPr>
            </w:pPr>
            <w:r>
              <w:rPr>
                <w:rFonts w:hint="default"/>
                <w:sz w:val="20"/>
                <w:szCs w:val="20"/>
              </w:rPr>
              <w:t>Based on the transcript of our call with the Hong Kong Director and my notes from the call, here are the concise descriptions of the five targets discussed, along with their strategic and financial fit for WorldWide Brewing Co</w:t>
            </w:r>
            <w:r>
              <w:rPr>
                <w:rFonts w:hint="default"/>
                <w:sz w:val="20"/>
                <w:szCs w:val="20"/>
              </w:rPr>
              <w:t>. Please find my assessment of each company and their relevance as a potential acquisition target:</w:t>
            </w:r>
          </w:p>
          <w:p>
            <w:pPr>
              <w:spacing w:after="0" w:line="240" w:lineRule="auto"/>
              <w:rPr>
                <w:sz w:val="20"/>
                <w:szCs w:val="20"/>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4"/>
              <w:gridCol w:w="2626"/>
              <w:gridCol w:w="2869"/>
              <w:gridCol w:w="2341"/>
            </w:tblGrid>
            <w:tr>
              <w:tc>
                <w:tcPr>
                  <w:tcW w:w="1240" w:type="dxa"/>
                </w:tcPr>
                <w:p>
                  <w:pPr>
                    <w:spacing w:after="0" w:line="240" w:lineRule="auto"/>
                    <w:rPr>
                      <w:rFonts w:ascii="Calibri" w:hAnsi="Calibri" w:cs="Calibri"/>
                      <w:b/>
                      <w:bCs/>
                      <w:sz w:val="20"/>
                      <w:szCs w:val="20"/>
                    </w:rPr>
                  </w:pPr>
                  <w:r>
                    <w:rPr>
                      <w:rFonts w:ascii="Calibri" w:hAnsi="Calibri" w:cs="Calibri"/>
                      <w:b/>
                      <w:bCs/>
                      <w:sz w:val="20"/>
                      <w:szCs w:val="20"/>
                    </w:rPr>
                    <w:t>Company</w:t>
                  </w:r>
                </w:p>
              </w:tc>
              <w:tc>
                <w:tcPr>
                  <w:tcW w:w="2647" w:type="dxa"/>
                </w:tcPr>
                <w:p>
                  <w:pPr>
                    <w:spacing w:after="0" w:line="240" w:lineRule="auto"/>
                    <w:rPr>
                      <w:rFonts w:ascii="Calibri" w:hAnsi="Calibri" w:cs="Calibri"/>
                      <w:b/>
                      <w:bCs/>
                      <w:sz w:val="20"/>
                      <w:szCs w:val="20"/>
                    </w:rPr>
                  </w:pPr>
                  <w:r>
                    <w:rPr>
                      <w:rFonts w:ascii="Calibri" w:hAnsi="Calibri" w:cs="Calibri"/>
                      <w:b/>
                      <w:bCs/>
                      <w:sz w:val="20"/>
                      <w:szCs w:val="20"/>
                    </w:rPr>
                    <w:t>Description</w:t>
                  </w:r>
                </w:p>
              </w:tc>
              <w:tc>
                <w:tcPr>
                  <w:tcW w:w="2893" w:type="dxa"/>
                </w:tcPr>
                <w:p>
                  <w:pPr>
                    <w:spacing w:after="0" w:line="240" w:lineRule="auto"/>
                    <w:rPr>
                      <w:rFonts w:ascii="Calibri" w:hAnsi="Calibri" w:cs="Calibri"/>
                      <w:b/>
                      <w:bCs/>
                      <w:sz w:val="20"/>
                      <w:szCs w:val="20"/>
                    </w:rPr>
                  </w:pPr>
                  <w:r>
                    <w:rPr>
                      <w:rFonts w:ascii="Calibri" w:hAnsi="Calibri" w:cs="Calibri"/>
                      <w:b/>
                      <w:bCs/>
                      <w:sz w:val="20"/>
                      <w:szCs w:val="20"/>
                    </w:rPr>
                    <w:t>Relevance to WorldWide Brewing</w:t>
                  </w:r>
                </w:p>
                <w:p>
                  <w:pPr>
                    <w:spacing w:after="0" w:line="240" w:lineRule="auto"/>
                    <w:rPr>
                      <w:rFonts w:ascii="Calibri" w:hAnsi="Calibri" w:cs="Calibri"/>
                      <w:b/>
                      <w:bCs/>
                      <w:sz w:val="20"/>
                      <w:szCs w:val="20"/>
                    </w:rPr>
                  </w:pPr>
                </w:p>
              </w:tc>
              <w:tc>
                <w:tcPr>
                  <w:tcW w:w="2350" w:type="dxa"/>
                </w:tcPr>
                <w:p>
                  <w:pPr>
                    <w:spacing w:after="0" w:line="240" w:lineRule="auto"/>
                    <w:rPr>
                      <w:rFonts w:ascii="Calibri" w:hAnsi="Calibri" w:cs="Calibri"/>
                      <w:b/>
                      <w:bCs/>
                      <w:sz w:val="20"/>
                      <w:szCs w:val="20"/>
                    </w:rPr>
                  </w:pPr>
                  <w:r>
                    <w:rPr>
                      <w:rFonts w:ascii="Calibri" w:hAnsi="Calibri" w:cs="Calibri"/>
                      <w:b/>
                      <w:bCs/>
                      <w:sz w:val="20"/>
                      <w:szCs w:val="20"/>
                    </w:rPr>
                    <w:t>Recommendation</w:t>
                  </w:r>
                </w:p>
              </w:tc>
            </w:tr>
            <w:tr>
              <w:tc>
                <w:tcPr>
                  <w:tcW w:w="1240" w:type="dxa"/>
                </w:tcPr>
                <w:p>
                  <w:pPr>
                    <w:spacing w:after="0" w:line="240" w:lineRule="auto"/>
                    <w:rPr>
                      <w:rFonts w:ascii="Calibri" w:hAnsi="Calibri" w:cs="Calibri"/>
                      <w:b/>
                      <w:bCs/>
                      <w:sz w:val="20"/>
                      <w:szCs w:val="20"/>
                    </w:rPr>
                  </w:pPr>
                  <w:r>
                    <w:rPr>
                      <w:rFonts w:ascii="Calibri" w:hAnsi="Calibri" w:cs="Calibri"/>
                      <w:b/>
                      <w:bCs/>
                      <w:sz w:val="20"/>
                      <w:szCs w:val="20"/>
                    </w:rPr>
                    <w:t>HappyHour Co.</w:t>
                  </w:r>
                </w:p>
              </w:tc>
              <w:tc>
                <w:tcPr>
                  <w:tcW w:w="2647" w:type="dxa"/>
                </w:tcPr>
                <w:p>
                  <w:pPr>
                    <w:spacing w:after="0" w:line="240" w:lineRule="auto"/>
                    <w:rPr>
                      <w:rFonts w:ascii="Calibri" w:hAnsi="Calibri" w:cs="Calibri"/>
                      <w:sz w:val="20"/>
                      <w:szCs w:val="20"/>
                    </w:rPr>
                  </w:pPr>
                  <w:r>
                    <w:rPr>
                      <w:rFonts w:hint="default" w:ascii="Calibri" w:hAnsi="Calibri" w:cs="Calibri"/>
                      <w:sz w:val="20"/>
                      <w:szCs w:val="20"/>
                    </w:rPr>
                    <w:t>HappyHour Co. is a leading beverage company in Singapore and Malaysia, operating in beers, spirits, and non-alcoholic beverages. With integrated operations and strong financial performance (US$300mm EBITDA in FY2020), it presents strategic alignment and potential synergies with WorldWide Brewing's operations. Furthermore, its ownership structure, held among three families, simplifies the acquisition process</w:t>
                  </w:r>
                  <w:r>
                    <w:rPr>
                      <w:rFonts w:hint="default" w:ascii="Calibri" w:hAnsi="Calibri" w:cs="Calibri"/>
                      <w:sz w:val="20"/>
                      <w:szCs w:val="20"/>
                    </w:rPr>
                    <w:t xml:space="preserve">. </w:t>
                  </w:r>
                </w:p>
              </w:tc>
              <w:tc>
                <w:tcPr>
                  <w:tcW w:w="2893" w:type="dxa"/>
                </w:tcPr>
                <w:p>
                  <w:pPr>
                    <w:spacing w:after="0" w:line="240" w:lineRule="auto"/>
                    <w:rPr>
                      <w:rFonts w:ascii="Calibri" w:hAnsi="Calibri" w:cs="Calibri"/>
                      <w:sz w:val="20"/>
                      <w:szCs w:val="20"/>
                    </w:rPr>
                  </w:pPr>
                  <w:r>
                    <w:rPr>
                      <w:rFonts w:hint="default" w:ascii="Calibri" w:hAnsi="Calibri" w:cs="Calibri"/>
                      <w:sz w:val="20"/>
                      <w:szCs w:val="20"/>
                    </w:rPr>
                    <w:t>HappyHour Co. is the largest player in Singapore and Malaysia</w:t>
                  </w:r>
                  <w:r>
                    <w:rPr>
                      <w:rFonts w:hint="default" w:ascii="Calibri" w:hAnsi="Calibri" w:cs="Calibri"/>
                      <w:sz w:val="20"/>
                      <w:szCs w:val="20"/>
                    </w:rPr>
                    <w:t xml:space="preserve">, as well as </w:t>
                  </w:r>
                  <w:r>
                    <w:rPr>
                      <w:rFonts w:hint="default" w:ascii="Calibri" w:hAnsi="Calibri" w:cs="Calibri"/>
                      <w:sz w:val="20"/>
                      <w:szCs w:val="20"/>
                    </w:rPr>
                    <w:t xml:space="preserve"> integrated operations including manufacturing, distribution, and direct sales</w:t>
                  </w:r>
                  <w:r>
                    <w:rPr>
                      <w:rFonts w:hint="default" w:ascii="Calibri" w:hAnsi="Calibri" w:cs="Calibri"/>
                      <w:sz w:val="20"/>
                      <w:szCs w:val="20"/>
                    </w:rPr>
                    <w:t xml:space="preserve">. </w:t>
                  </w:r>
                  <w:r>
                    <w:rPr>
                      <w:rFonts w:hint="default" w:ascii="Calibri" w:hAnsi="Calibri" w:cs="Calibri"/>
                      <w:sz w:val="20"/>
                      <w:szCs w:val="20"/>
                    </w:rPr>
                    <w:t>The ownership structure is relatively simple, with three families owning the company, making a potential acquisition feasible.</w:t>
                  </w:r>
                  <w:r>
                    <w:rPr>
                      <w:rFonts w:hint="default" w:ascii="Calibri" w:hAnsi="Calibri" w:cs="Calibri"/>
                      <w:sz w:val="20"/>
                      <w:szCs w:val="20"/>
                    </w:rPr>
                    <w:t xml:space="preserve"> </w:t>
                  </w:r>
                  <w:r>
                    <w:rPr>
                      <w:rFonts w:hint="default" w:ascii="Calibri" w:hAnsi="Calibri" w:cs="Calibri"/>
                      <w:sz w:val="20"/>
                      <w:szCs w:val="20"/>
                    </w:rPr>
                    <w:t>Similar operations and leading market position in Southeast Asia suggest strategic benefits and synergies. Family ownership simplifies potential acquisition.</w:t>
                  </w:r>
                </w:p>
              </w:tc>
              <w:tc>
                <w:tcPr>
                  <w:tcW w:w="2350" w:type="dxa"/>
                </w:tcPr>
                <w:p>
                  <w:pPr>
                    <w:spacing w:after="0" w:line="240" w:lineRule="auto"/>
                    <w:rPr>
                      <w:rFonts w:hint="default" w:ascii="Calibri" w:hAnsi="Calibri" w:cs="Calibri"/>
                      <w:b/>
                      <w:bCs/>
                      <w:sz w:val="24"/>
                      <w:szCs w:val="24"/>
                    </w:rPr>
                  </w:pPr>
                  <w:r>
                    <w:rPr>
                      <w:rFonts w:hint="default" w:ascii="Calibri" w:hAnsi="Calibri" w:cs="Calibri"/>
                      <w:b/>
                      <w:bCs/>
                      <w:sz w:val="24"/>
                      <w:szCs w:val="24"/>
                    </w:rPr>
                    <w:t xml:space="preserve"> Recommend sharing with Carlos as a potential M&amp;A target.</w:t>
                  </w:r>
                </w:p>
                <w:p>
                  <w:pPr>
                    <w:spacing w:after="0" w:line="240" w:lineRule="auto"/>
                    <w:rPr>
                      <w:rFonts w:ascii="Calibri" w:hAnsi="Calibri" w:cs="Calibri"/>
                      <w:b/>
                      <w:bCs/>
                      <w:sz w:val="20"/>
                      <w:szCs w:val="20"/>
                    </w:rPr>
                  </w:pPr>
                </w:p>
              </w:tc>
            </w:tr>
            <w:tr>
              <w:tc>
                <w:tcPr>
                  <w:tcW w:w="1240" w:type="dxa"/>
                </w:tcPr>
                <w:p>
                  <w:pPr>
                    <w:spacing w:after="0" w:line="240" w:lineRule="auto"/>
                    <w:rPr>
                      <w:rFonts w:ascii="Calibri" w:hAnsi="Calibri" w:cs="Calibri"/>
                      <w:b/>
                      <w:bCs/>
                      <w:sz w:val="20"/>
                      <w:szCs w:val="20"/>
                    </w:rPr>
                  </w:pPr>
                </w:p>
                <w:p>
                  <w:pPr>
                    <w:spacing w:after="0" w:line="240" w:lineRule="auto"/>
                    <w:rPr>
                      <w:rFonts w:ascii="Calibri" w:hAnsi="Calibri" w:cs="Calibri"/>
                      <w:b/>
                      <w:bCs/>
                      <w:sz w:val="20"/>
                      <w:szCs w:val="20"/>
                    </w:rPr>
                  </w:pPr>
                </w:p>
                <w:p>
                  <w:pPr>
                    <w:spacing w:after="0" w:line="240" w:lineRule="auto"/>
                    <w:rPr>
                      <w:rFonts w:ascii="Calibri" w:hAnsi="Calibri" w:cs="Calibri"/>
                      <w:b/>
                      <w:bCs/>
                      <w:sz w:val="20"/>
                      <w:szCs w:val="20"/>
                    </w:rPr>
                  </w:pPr>
                </w:p>
                <w:p>
                  <w:pPr>
                    <w:spacing w:after="0" w:line="240" w:lineRule="auto"/>
                    <w:rPr>
                      <w:rFonts w:ascii="Calibri" w:hAnsi="Calibri" w:cs="Calibri"/>
                      <w:b/>
                      <w:bCs/>
                      <w:sz w:val="20"/>
                      <w:szCs w:val="20"/>
                    </w:rPr>
                  </w:pPr>
                </w:p>
                <w:p>
                  <w:pPr>
                    <w:spacing w:after="0" w:line="240" w:lineRule="auto"/>
                    <w:rPr>
                      <w:rFonts w:ascii="Calibri" w:hAnsi="Calibri" w:cs="Calibri"/>
                      <w:b/>
                      <w:bCs/>
                      <w:sz w:val="20"/>
                      <w:szCs w:val="20"/>
                    </w:rPr>
                  </w:pPr>
                  <w:r>
                    <w:rPr>
                      <w:rFonts w:hint="default" w:ascii="Calibri" w:hAnsi="Calibri" w:cs="Calibri"/>
                      <w:b/>
                      <w:bCs/>
                      <w:sz w:val="20"/>
                      <w:szCs w:val="20"/>
                    </w:rPr>
                    <w:t>Brew Co</w:t>
                  </w:r>
                </w:p>
              </w:tc>
              <w:tc>
                <w:tcPr>
                  <w:tcW w:w="2647" w:type="dxa"/>
                </w:tcPr>
                <w:p>
                  <w:pPr>
                    <w:spacing w:after="0" w:line="240" w:lineRule="auto"/>
                    <w:rPr>
                      <w:rFonts w:ascii="Calibri" w:hAnsi="Calibri" w:cs="Calibri"/>
                      <w:sz w:val="20"/>
                      <w:szCs w:val="20"/>
                    </w:rPr>
                  </w:pPr>
                  <w:r>
                    <w:rPr>
                      <w:rFonts w:hint="default" w:ascii="Calibri" w:hAnsi="Calibri" w:cs="Calibri"/>
                      <w:sz w:val="20"/>
                      <w:szCs w:val="20"/>
                    </w:rPr>
                    <w:t>A Malaysian beer and spirits company that operates manufacturing facilities and is listed on Bursa Malaysia with US$800mm EBITDA in FY2020. Relevance: With considerable EBITDA and being in the alcohol manufacturing sector, this target aligns with WorldWide Brewing Co's needs and growth strategy, however, the shareholders' structure and potential integration might be complex</w:t>
                  </w:r>
                </w:p>
              </w:tc>
              <w:tc>
                <w:tcPr>
                  <w:tcW w:w="2893" w:type="dxa"/>
                </w:tcPr>
                <w:p>
                  <w:pPr>
                    <w:spacing w:after="0" w:line="240" w:lineRule="auto"/>
                    <w:rPr>
                      <w:rFonts w:ascii="Calibri" w:hAnsi="Calibri" w:cs="Calibri"/>
                      <w:sz w:val="20"/>
                      <w:szCs w:val="20"/>
                    </w:rPr>
                  </w:pPr>
                  <w:r>
                    <w:rPr>
                      <w:rFonts w:hint="default" w:ascii="Calibri" w:hAnsi="Calibri" w:cs="Calibri"/>
                      <w:sz w:val="20"/>
                      <w:szCs w:val="20"/>
                    </w:rPr>
                    <w:t xml:space="preserve"> Market leadership in Malaysia presents an opportunity for market expansion. However, potential complexities associated with its institutional ownership structure may warrant careful consideration. M</w:t>
                  </w:r>
                  <w:r>
                    <w:rPr>
                      <w:rFonts w:hint="default" w:ascii="Calibri" w:hAnsi="Calibri" w:cs="Calibri"/>
                      <w:sz w:val="20"/>
                      <w:szCs w:val="20"/>
                    </w:rPr>
                    <w:t>ostly institutional shareholders,</w:t>
                  </w:r>
                  <w:r>
                    <w:rPr>
                      <w:rFonts w:hint="default" w:ascii="Calibri" w:hAnsi="Calibri" w:cs="Calibri"/>
                      <w:sz w:val="20"/>
                      <w:szCs w:val="20"/>
                    </w:rPr>
                    <w:t xml:space="preserve"> making </w:t>
                  </w:r>
                  <w:r>
                    <w:rPr>
                      <w:rFonts w:hint="default" w:ascii="Calibri" w:hAnsi="Calibri" w:cs="Calibri"/>
                      <w:sz w:val="20"/>
                      <w:szCs w:val="20"/>
                    </w:rPr>
                    <w:t xml:space="preserve"> an acquisition may be more straightforward. However, the financial performance decline could be a concern. This target may be worth considering, but the financial trends should be examined further</w:t>
                  </w:r>
                </w:p>
              </w:tc>
              <w:tc>
                <w:tcPr>
                  <w:tcW w:w="2350" w:type="dxa"/>
                </w:tcPr>
                <w:p>
                  <w:pPr>
                    <w:spacing w:after="0" w:line="240" w:lineRule="auto"/>
                    <w:rPr>
                      <w:rFonts w:hint="default" w:ascii="Calibri" w:hAnsi="Calibri" w:cs="Calibri"/>
                      <w:b/>
                      <w:bCs/>
                      <w:sz w:val="24"/>
                      <w:szCs w:val="24"/>
                    </w:rPr>
                  </w:pPr>
                  <w:r>
                    <w:rPr>
                      <w:rFonts w:hint="default" w:ascii="Calibri" w:hAnsi="Calibri" w:cs="Calibri"/>
                      <w:b/>
                      <w:bCs/>
                      <w:sz w:val="24"/>
                      <w:szCs w:val="24"/>
                    </w:rPr>
                    <w:t>Consider sharing with Carlos, but highlight the potential limitations and complexities.</w:t>
                  </w:r>
                </w:p>
                <w:p>
                  <w:pPr>
                    <w:spacing w:after="0" w:line="240" w:lineRule="auto"/>
                    <w:rPr>
                      <w:rFonts w:ascii="Calibri" w:hAnsi="Calibri" w:cs="Calibri"/>
                      <w:b/>
                      <w:bCs/>
                      <w:sz w:val="20"/>
                      <w:szCs w:val="20"/>
                    </w:rPr>
                  </w:pPr>
                </w:p>
              </w:tc>
            </w:tr>
            <w:tr>
              <w:tc>
                <w:tcPr>
                  <w:tcW w:w="1240" w:type="dxa"/>
                </w:tcPr>
                <w:p>
                  <w:pPr>
                    <w:spacing w:after="0" w:line="240" w:lineRule="auto"/>
                    <w:rPr>
                      <w:rFonts w:ascii="Calibri" w:hAnsi="Calibri" w:cs="Calibri"/>
                      <w:b/>
                      <w:bCs/>
                      <w:sz w:val="20"/>
                      <w:szCs w:val="20"/>
                    </w:rPr>
                  </w:pPr>
                </w:p>
                <w:p>
                  <w:pPr>
                    <w:spacing w:after="0" w:line="240" w:lineRule="auto"/>
                    <w:rPr>
                      <w:rFonts w:ascii="Calibri" w:hAnsi="Calibri" w:cs="Calibri"/>
                      <w:b/>
                      <w:bCs/>
                      <w:sz w:val="20"/>
                      <w:szCs w:val="20"/>
                    </w:rPr>
                  </w:pPr>
                </w:p>
                <w:p>
                  <w:pPr>
                    <w:spacing w:after="0" w:line="240" w:lineRule="auto"/>
                    <w:rPr>
                      <w:rFonts w:ascii="Calibri" w:hAnsi="Calibri" w:cs="Calibri"/>
                      <w:b/>
                      <w:bCs/>
                      <w:sz w:val="20"/>
                      <w:szCs w:val="20"/>
                    </w:rPr>
                  </w:pPr>
                  <w:r>
                    <w:rPr>
                      <w:rFonts w:hint="default" w:ascii="Calibri" w:hAnsi="Calibri" w:cs="Calibri"/>
                      <w:b/>
                      <w:bCs/>
                      <w:sz w:val="20"/>
                      <w:szCs w:val="20"/>
                    </w:rPr>
                    <w:t>Spirit Bay</w:t>
                  </w:r>
                </w:p>
                <w:p>
                  <w:pPr>
                    <w:spacing w:after="0" w:line="240" w:lineRule="auto"/>
                    <w:rPr>
                      <w:rFonts w:ascii="Calibri" w:hAnsi="Calibri" w:cs="Calibri"/>
                      <w:b/>
                      <w:bCs/>
                      <w:sz w:val="20"/>
                      <w:szCs w:val="20"/>
                    </w:rPr>
                  </w:pPr>
                </w:p>
                <w:p>
                  <w:pPr>
                    <w:spacing w:after="0" w:line="240" w:lineRule="auto"/>
                    <w:rPr>
                      <w:rFonts w:ascii="Calibri" w:hAnsi="Calibri" w:cs="Calibri"/>
                      <w:b/>
                      <w:bCs/>
                      <w:sz w:val="20"/>
                      <w:szCs w:val="20"/>
                    </w:rPr>
                  </w:pPr>
                </w:p>
              </w:tc>
              <w:tc>
                <w:tcPr>
                  <w:tcW w:w="2647" w:type="dxa"/>
                </w:tcPr>
                <w:p>
                  <w:pPr>
                    <w:spacing w:after="0" w:line="240" w:lineRule="auto"/>
                    <w:rPr>
                      <w:rFonts w:ascii="Calibri" w:hAnsi="Calibri" w:cs="Calibri"/>
                      <w:sz w:val="20"/>
                      <w:szCs w:val="20"/>
                    </w:rPr>
                  </w:pPr>
                  <w:r>
                    <w:rPr>
                      <w:rFonts w:hint="default" w:ascii="Calibri" w:hAnsi="Calibri" w:cs="Calibri"/>
                      <w:sz w:val="20"/>
                      <w:szCs w:val="20"/>
                    </w:rPr>
                    <w:t>Spirit Bay is an Indonesian beverage company with a significant presence in Singapore, Malaysia, and China. While reporting impressive earnings (US$400mm EBITDA)</w:t>
                  </w:r>
                  <w:r>
                    <w:rPr>
                      <w:rFonts w:hint="default" w:ascii="Calibri" w:hAnsi="Calibri" w:cs="Calibri"/>
                      <w:sz w:val="20"/>
                      <w:szCs w:val="20"/>
                    </w:rPr>
                    <w:t xml:space="preserve">;  Its operations include manufacturing, distribution, and direct sales. EBITDA in FY2020 was US$400mm, up 40% from the previous year. </w:t>
                  </w:r>
                </w:p>
              </w:tc>
              <w:tc>
                <w:tcPr>
                  <w:tcW w:w="2893" w:type="dxa"/>
                </w:tcPr>
                <w:p>
                  <w:pPr>
                    <w:spacing w:after="0" w:line="240" w:lineRule="auto"/>
                    <w:rPr>
                      <w:rFonts w:ascii="Calibri" w:hAnsi="Calibri" w:cs="Calibri"/>
                      <w:sz w:val="20"/>
                      <w:szCs w:val="20"/>
                    </w:rPr>
                  </w:pPr>
                  <w:r>
                    <w:rPr>
                      <w:rFonts w:hint="default" w:ascii="Calibri" w:hAnsi="Calibri" w:cs="Calibri"/>
                      <w:sz w:val="20"/>
                      <w:szCs w:val="20"/>
                    </w:rPr>
                    <w:t>Spirit Bay's strong financial performance and market position in Indonesia make it an attractive target. However, its ownership structure (60% owned by a Global Sponsor) may complicate an acquisition</w:t>
                  </w:r>
                  <w:r>
                    <w:rPr>
                      <w:rFonts w:hint="default" w:ascii="Calibri" w:hAnsi="Calibri" w:cs="Calibri"/>
                      <w:sz w:val="20"/>
                      <w:szCs w:val="20"/>
                    </w:rPr>
                    <w:t>. its ownership by a Global Sponsor and recent cost-cutting measures may complicate acquisition negotiations. Therefore, it might not be the most suitable option to share with Carlos Johnson due to potential complexities.</w:t>
                  </w:r>
                </w:p>
              </w:tc>
              <w:tc>
                <w:tcPr>
                  <w:tcW w:w="2350" w:type="dxa"/>
                </w:tcPr>
                <w:p>
                  <w:pPr>
                    <w:spacing w:after="0" w:line="240" w:lineRule="auto"/>
                    <w:rPr>
                      <w:rFonts w:hint="default" w:ascii="Calibri" w:hAnsi="Calibri" w:cs="Calibri"/>
                      <w:b/>
                      <w:bCs/>
                      <w:sz w:val="24"/>
                      <w:szCs w:val="24"/>
                    </w:rPr>
                  </w:pPr>
                  <w:r>
                    <w:rPr>
                      <w:rFonts w:hint="default" w:ascii="Calibri" w:hAnsi="Calibri" w:cs="Calibri"/>
                      <w:b/>
                      <w:bCs/>
                      <w:sz w:val="24"/>
                      <w:szCs w:val="24"/>
                    </w:rPr>
                    <w:t>Consider sharing with Carlos, but highlight potential ownership complexities.</w:t>
                  </w:r>
                </w:p>
                <w:p>
                  <w:pPr>
                    <w:spacing w:after="0" w:line="240" w:lineRule="auto"/>
                    <w:rPr>
                      <w:rFonts w:ascii="Calibri" w:hAnsi="Calibri" w:cs="Calibri"/>
                      <w:b/>
                      <w:bCs/>
                      <w:sz w:val="20"/>
                      <w:szCs w:val="20"/>
                    </w:rPr>
                  </w:pPr>
                </w:p>
              </w:tc>
            </w:tr>
            <w:tr>
              <w:tc>
                <w:tcPr>
                  <w:tcW w:w="1240" w:type="dxa"/>
                </w:tcPr>
                <w:p>
                  <w:pPr>
                    <w:spacing w:after="0" w:line="240" w:lineRule="auto"/>
                    <w:rPr>
                      <w:rFonts w:ascii="Calibri" w:hAnsi="Calibri" w:cs="Calibri"/>
                      <w:b/>
                      <w:bCs/>
                      <w:sz w:val="20"/>
                      <w:szCs w:val="20"/>
                    </w:rPr>
                  </w:pPr>
                </w:p>
                <w:p>
                  <w:pPr>
                    <w:spacing w:after="0" w:line="240" w:lineRule="auto"/>
                    <w:rPr>
                      <w:rFonts w:ascii="Calibri" w:hAnsi="Calibri" w:cs="Calibri"/>
                      <w:b/>
                      <w:bCs/>
                      <w:sz w:val="20"/>
                      <w:szCs w:val="20"/>
                    </w:rPr>
                  </w:pPr>
                </w:p>
                <w:p>
                  <w:pPr>
                    <w:spacing w:after="0" w:line="240" w:lineRule="auto"/>
                    <w:rPr>
                      <w:rFonts w:ascii="Calibri" w:hAnsi="Calibri" w:cs="Calibri"/>
                      <w:b/>
                      <w:bCs/>
                      <w:sz w:val="20"/>
                      <w:szCs w:val="20"/>
                    </w:rPr>
                  </w:pPr>
                  <w:r>
                    <w:rPr>
                      <w:rFonts w:hint="default" w:ascii="Calibri" w:hAnsi="Calibri" w:cs="Calibri"/>
                      <w:b/>
                      <w:bCs/>
                      <w:sz w:val="20"/>
                      <w:szCs w:val="20"/>
                    </w:rPr>
                    <w:t>Hipsters’ Ale</w:t>
                  </w:r>
                </w:p>
                <w:p>
                  <w:pPr>
                    <w:spacing w:after="0" w:line="240" w:lineRule="auto"/>
                    <w:rPr>
                      <w:rFonts w:ascii="Calibri" w:hAnsi="Calibri" w:cs="Calibri"/>
                      <w:b/>
                      <w:bCs/>
                      <w:sz w:val="20"/>
                      <w:szCs w:val="20"/>
                    </w:rPr>
                  </w:pPr>
                </w:p>
                <w:p>
                  <w:pPr>
                    <w:spacing w:after="0" w:line="240" w:lineRule="auto"/>
                    <w:rPr>
                      <w:rFonts w:ascii="Calibri" w:hAnsi="Calibri" w:cs="Calibri"/>
                      <w:b/>
                      <w:bCs/>
                      <w:sz w:val="20"/>
                      <w:szCs w:val="20"/>
                    </w:rPr>
                  </w:pPr>
                </w:p>
              </w:tc>
              <w:tc>
                <w:tcPr>
                  <w:tcW w:w="2647" w:type="dxa"/>
                </w:tcPr>
                <w:p>
                  <w:pPr>
                    <w:spacing w:after="0" w:line="240" w:lineRule="auto"/>
                    <w:rPr>
                      <w:rFonts w:ascii="Calibri" w:hAnsi="Calibri" w:cs="Calibri"/>
                      <w:sz w:val="20"/>
                      <w:szCs w:val="20"/>
                    </w:rPr>
                  </w:pPr>
                  <w:r>
                    <w:rPr>
                      <w:rFonts w:hint="default" w:ascii="Calibri" w:hAnsi="Calibri" w:cs="Calibri"/>
                      <w:sz w:val="20"/>
                      <w:szCs w:val="20"/>
                    </w:rPr>
                    <w:t>Hipsters' Ale is a Malaysian beer and spirits company operating in several Asian markets, including Singapore, Indonesia, Japan, and Korea. It has a unique ownership structure, being owned by a consortium of 30 independent breweries.</w:t>
                  </w:r>
                  <w:r>
                    <w:rPr>
                      <w:rFonts w:hint="default" w:ascii="Calibri" w:hAnsi="Calibri" w:cs="Calibri"/>
                      <w:sz w:val="20"/>
                      <w:szCs w:val="20"/>
                    </w:rPr>
                    <w:t xml:space="preserve"> I</w:t>
                  </w:r>
                  <w:r>
                    <w:rPr>
                      <w:rFonts w:hint="default" w:ascii="Calibri" w:hAnsi="Calibri" w:cs="Calibri"/>
                      <w:sz w:val="20"/>
                      <w:szCs w:val="20"/>
                    </w:rPr>
                    <w:t xml:space="preserve">t reported EBITDA of US$200 million in FY2020, up 15%, </w:t>
                  </w:r>
                </w:p>
              </w:tc>
              <w:tc>
                <w:tcPr>
                  <w:tcW w:w="2893" w:type="dxa"/>
                </w:tcPr>
                <w:p>
                  <w:pPr>
                    <w:spacing w:after="0" w:line="240" w:lineRule="auto"/>
                    <w:rPr>
                      <w:rFonts w:ascii="Calibri" w:hAnsi="Calibri" w:cs="Calibri"/>
                      <w:sz w:val="20"/>
                      <w:szCs w:val="20"/>
                    </w:rPr>
                  </w:pPr>
                  <w:r>
                    <w:rPr>
                      <w:rFonts w:hint="default" w:ascii="Calibri" w:hAnsi="Calibri" w:cs="Calibri"/>
                      <w:sz w:val="20"/>
                      <w:szCs w:val="20"/>
                    </w:rPr>
                    <w:t>Geographic reach and diverse ownership might present integration challenges.</w:t>
                  </w:r>
                  <w:r>
                    <w:rPr>
                      <w:rFonts w:hint="default" w:ascii="Calibri" w:hAnsi="Calibri" w:cs="Calibri"/>
                      <w:sz w:val="20"/>
                      <w:szCs w:val="20"/>
                    </w:rPr>
                    <w:t xml:space="preserve"> I</w:t>
                  </w:r>
                  <w:r>
                    <w:rPr>
                      <w:rFonts w:hint="default" w:ascii="Calibri" w:hAnsi="Calibri" w:cs="Calibri"/>
                      <w:sz w:val="20"/>
                      <w:szCs w:val="20"/>
                    </w:rPr>
                    <w:t>ts ownership by 30 independent breweries and decentralized manufacturing facilities suggest potential complexities in acquisition negotiations. However, its solid financial performance (US$200mm EBITDA in FY2020) and diversified market presence could still make it a viable option to share with Carlos Johnson.</w:t>
                  </w:r>
                </w:p>
              </w:tc>
              <w:tc>
                <w:tcPr>
                  <w:tcW w:w="2350" w:type="dxa"/>
                </w:tcPr>
                <w:p>
                  <w:pPr>
                    <w:keepNext w:val="0"/>
                    <w:keepLines w:val="0"/>
                    <w:widowControl/>
                    <w:suppressLineNumbers w:val="0"/>
                    <w:jc w:val="left"/>
                    <w:rPr>
                      <w:rFonts w:hint="default" w:ascii="Calibri" w:hAnsi="Calibri" w:cs="Calibri"/>
                      <w:b/>
                      <w:bCs/>
                    </w:rPr>
                  </w:pPr>
                  <w:r>
                    <w:rPr>
                      <w:rFonts w:hint="default" w:ascii="Calibri" w:hAnsi="Calibri" w:eastAsia="SimSun" w:cs="Calibri"/>
                      <w:b/>
                      <w:bCs/>
                      <w:kern w:val="0"/>
                      <w:sz w:val="24"/>
                      <w:szCs w:val="24"/>
                      <w:lang w:val="en-US" w:eastAsia="zh-CN" w:bidi="ar"/>
                    </w:rPr>
                    <w:t>Not recommended at this stage</w:t>
                  </w:r>
                </w:p>
                <w:p>
                  <w:pPr>
                    <w:spacing w:after="0" w:line="240" w:lineRule="auto"/>
                    <w:rPr>
                      <w:rFonts w:ascii="Calibri" w:hAnsi="Calibri" w:cs="Calibri"/>
                      <w:b/>
                      <w:bCs/>
                      <w:sz w:val="20"/>
                      <w:szCs w:val="20"/>
                    </w:rPr>
                  </w:pPr>
                </w:p>
              </w:tc>
            </w:tr>
            <w:tr>
              <w:tc>
                <w:tcPr>
                  <w:tcW w:w="1240" w:type="dxa"/>
                </w:tcPr>
                <w:p>
                  <w:pPr>
                    <w:spacing w:after="0" w:line="240" w:lineRule="auto"/>
                    <w:rPr>
                      <w:rFonts w:ascii="Calibri" w:hAnsi="Calibri" w:cs="Calibri"/>
                      <w:b/>
                      <w:bCs/>
                      <w:sz w:val="20"/>
                      <w:szCs w:val="20"/>
                    </w:rPr>
                  </w:pPr>
                </w:p>
                <w:p>
                  <w:pPr>
                    <w:spacing w:after="0" w:line="240" w:lineRule="auto"/>
                    <w:rPr>
                      <w:rFonts w:ascii="Calibri" w:hAnsi="Calibri" w:cs="Calibri"/>
                      <w:b/>
                      <w:bCs/>
                      <w:sz w:val="20"/>
                      <w:szCs w:val="20"/>
                    </w:rPr>
                  </w:pPr>
                </w:p>
                <w:p>
                  <w:pPr>
                    <w:spacing w:after="0" w:line="240" w:lineRule="auto"/>
                    <w:rPr>
                      <w:rFonts w:ascii="Calibri" w:hAnsi="Calibri" w:cs="Calibri"/>
                      <w:b/>
                      <w:bCs/>
                      <w:sz w:val="20"/>
                      <w:szCs w:val="20"/>
                    </w:rPr>
                  </w:pPr>
                  <w:r>
                    <w:rPr>
                      <w:rFonts w:hint="default" w:ascii="Calibri" w:hAnsi="Calibri" w:cs="Calibri"/>
                      <w:b/>
                      <w:bCs/>
                      <w:sz w:val="20"/>
                      <w:szCs w:val="20"/>
                    </w:rPr>
                    <w:t>Bevy’s Direct</w:t>
                  </w:r>
                </w:p>
                <w:p>
                  <w:pPr>
                    <w:spacing w:after="0" w:line="240" w:lineRule="auto"/>
                    <w:rPr>
                      <w:rFonts w:ascii="Calibri" w:hAnsi="Calibri" w:cs="Calibri"/>
                      <w:b/>
                      <w:bCs/>
                      <w:sz w:val="20"/>
                      <w:szCs w:val="20"/>
                    </w:rPr>
                  </w:pPr>
                </w:p>
                <w:p>
                  <w:pPr>
                    <w:spacing w:after="0" w:line="240" w:lineRule="auto"/>
                    <w:rPr>
                      <w:rFonts w:ascii="Calibri" w:hAnsi="Calibri" w:cs="Calibri"/>
                      <w:b/>
                      <w:bCs/>
                      <w:sz w:val="20"/>
                      <w:szCs w:val="20"/>
                    </w:rPr>
                  </w:pPr>
                </w:p>
              </w:tc>
              <w:tc>
                <w:tcPr>
                  <w:tcW w:w="2647" w:type="dxa"/>
                </w:tcPr>
                <w:p>
                  <w:pPr>
                    <w:spacing w:after="0" w:line="240" w:lineRule="auto"/>
                    <w:rPr>
                      <w:rFonts w:ascii="Calibri" w:hAnsi="Calibri" w:cs="Calibri"/>
                      <w:sz w:val="20"/>
                      <w:szCs w:val="20"/>
                    </w:rPr>
                  </w:pPr>
                  <w:r>
                    <w:rPr>
                      <w:rFonts w:hint="default" w:ascii="Calibri" w:hAnsi="Calibri" w:cs="Calibri"/>
                      <w:sz w:val="20"/>
                      <w:szCs w:val="20"/>
                    </w:rPr>
                    <w:t xml:space="preserve">Bevy's Direct is a wholesale distributor of beer, spirits, and non-alcoholic beverages across multiple Asian markets, including Singapore, Malaysia, China, Indonesia, Japan, Korea, Cambodia, Australia, and New Zealand. EBITDA in FY2020 was US$250mm, up 20% from the previous year. </w:t>
                  </w:r>
                </w:p>
              </w:tc>
              <w:tc>
                <w:tcPr>
                  <w:tcW w:w="2893" w:type="dxa"/>
                </w:tcPr>
                <w:p>
                  <w:pPr>
                    <w:spacing w:after="0" w:line="240" w:lineRule="auto"/>
                    <w:rPr>
                      <w:rFonts w:ascii="Calibri" w:hAnsi="Calibri" w:cs="Calibri"/>
                      <w:sz w:val="20"/>
                      <w:szCs w:val="20"/>
                    </w:rPr>
                  </w:pPr>
                  <w:r>
                    <w:rPr>
                      <w:rFonts w:hint="default" w:ascii="Calibri" w:hAnsi="Calibri" w:cs="Calibri"/>
                      <w:sz w:val="20"/>
                      <w:szCs w:val="20"/>
                    </w:rPr>
                    <w:t xml:space="preserve">Bevy's Direct's distribution capabilities and presence across multiple target markets could complement WorldWide Brewing's operations. However, as a distributor without manufacturing operations, potential synergies may be limited. Its family ownership structure could simplify an acquisition. </w:t>
                  </w:r>
                  <w:r>
                    <w:rPr>
                      <w:rFonts w:hint="default" w:ascii="Calibri" w:hAnsi="Calibri" w:cs="Calibri"/>
                      <w:sz w:val="20"/>
                      <w:szCs w:val="20"/>
                    </w:rPr>
                    <w:t xml:space="preserve"> Overall, the lack of integrated operations may not align well with WorldWide Brewing's strategic objectives. This target may not be the most appropriate to share with Carlos</w:t>
                  </w:r>
                </w:p>
              </w:tc>
              <w:tc>
                <w:tcPr>
                  <w:tcW w:w="2350" w:type="dxa"/>
                </w:tcPr>
                <w:p>
                  <w:pPr>
                    <w:keepNext w:val="0"/>
                    <w:keepLines w:val="0"/>
                    <w:widowControl/>
                    <w:suppressLineNumbers w:val="0"/>
                    <w:jc w:val="left"/>
                    <w:rPr>
                      <w:rFonts w:hint="default" w:ascii="Calibri" w:hAnsi="Calibri" w:cs="Calibri"/>
                      <w:b/>
                      <w:bCs/>
                      <w:sz w:val="24"/>
                      <w:szCs w:val="24"/>
                    </w:rPr>
                  </w:pPr>
                  <w:r>
                    <w:rPr>
                      <w:rFonts w:hint="default" w:ascii="Calibri" w:hAnsi="Calibri" w:eastAsia="SimSun" w:cs="Calibri"/>
                      <w:b/>
                      <w:bCs/>
                      <w:kern w:val="0"/>
                      <w:sz w:val="24"/>
                      <w:szCs w:val="24"/>
                      <w:lang w:val="en-US" w:eastAsia="zh-CN" w:bidi="ar"/>
                    </w:rPr>
                    <w:t>Not recommended at this stage</w:t>
                  </w:r>
                </w:p>
                <w:p>
                  <w:pPr>
                    <w:spacing w:after="0" w:line="240" w:lineRule="auto"/>
                    <w:rPr>
                      <w:rFonts w:ascii="Calibri" w:hAnsi="Calibri" w:cs="Calibri"/>
                      <w:b/>
                      <w:bCs/>
                      <w:sz w:val="20"/>
                      <w:szCs w:val="20"/>
                    </w:rPr>
                  </w:pPr>
                </w:p>
              </w:tc>
            </w:tr>
          </w:tbl>
          <w:p>
            <w:pPr>
              <w:spacing w:after="0" w:line="240" w:lineRule="auto"/>
              <w:rPr>
                <w:sz w:val="20"/>
                <w:szCs w:val="20"/>
              </w:rPr>
            </w:pPr>
          </w:p>
          <w:p>
            <w:pPr>
              <w:spacing w:after="0" w:line="240" w:lineRule="auto"/>
              <w:rPr>
                <w:sz w:val="20"/>
                <w:szCs w:val="20"/>
              </w:rPr>
            </w:pPr>
          </w:p>
          <w:p>
            <w:pPr>
              <w:spacing w:after="0" w:line="240" w:lineRule="auto"/>
              <w:rPr>
                <w:rFonts w:hint="default"/>
                <w:sz w:val="20"/>
                <w:szCs w:val="20"/>
              </w:rPr>
            </w:pPr>
            <w:r>
              <w:rPr>
                <w:rFonts w:hint="default"/>
                <w:sz w:val="20"/>
                <w:szCs w:val="20"/>
              </w:rPr>
              <w:t xml:space="preserve">HappyHour Co. appears to be the most promising target based on its strong market position, operational alignment with WorldWide Brewing, and relatively straightforward ownership structure. Spirit Bay </w:t>
            </w:r>
            <w:r>
              <w:rPr>
                <w:rFonts w:hint="default"/>
                <w:sz w:val="20"/>
                <w:szCs w:val="20"/>
              </w:rPr>
              <w:t xml:space="preserve">and Brew </w:t>
            </w:r>
            <w:bookmarkStart w:id="0" w:name="_GoBack"/>
            <w:bookmarkEnd w:id="0"/>
            <w:r>
              <w:rPr>
                <w:rFonts w:hint="default"/>
                <w:sz w:val="20"/>
                <w:szCs w:val="20"/>
              </w:rPr>
              <w:t>Co are</w:t>
            </w:r>
            <w:r>
              <w:rPr>
                <w:rFonts w:hint="default"/>
                <w:sz w:val="20"/>
                <w:szCs w:val="20"/>
              </w:rPr>
              <w:t xml:space="preserve"> also worth considering, but with some reservations about its ownership and recent focus on cost-cutting.</w:t>
            </w:r>
          </w:p>
          <w:p>
            <w:pPr>
              <w:spacing w:after="0" w:line="240" w:lineRule="auto"/>
              <w:rPr>
                <w:rFonts w:hint="default"/>
                <w:sz w:val="20"/>
                <w:szCs w:val="20"/>
              </w:rPr>
            </w:pPr>
          </w:p>
          <w:p>
            <w:pPr>
              <w:spacing w:after="0" w:line="240" w:lineRule="auto"/>
              <w:rPr>
                <w:rFonts w:hint="default"/>
                <w:sz w:val="20"/>
                <w:szCs w:val="20"/>
              </w:rPr>
            </w:pPr>
            <w:r>
              <w:rPr>
                <w:rFonts w:hint="default"/>
                <w:sz w:val="20"/>
                <w:szCs w:val="20"/>
              </w:rPr>
              <w:t>Let's discuss these options further and tailor a presentation to Carlos highlighting the strategic and financial merits of each potential acquisition.</w:t>
            </w:r>
          </w:p>
          <w:p>
            <w:pPr>
              <w:spacing w:after="0" w:line="240" w:lineRule="auto"/>
              <w:rPr>
                <w:rFonts w:hint="default"/>
                <w:sz w:val="20"/>
                <w:szCs w:val="20"/>
              </w:rPr>
            </w:pPr>
          </w:p>
          <w:p>
            <w:pPr>
              <w:spacing w:after="0" w:line="240" w:lineRule="auto"/>
              <w:rPr>
                <w:rFonts w:hint="default"/>
                <w:sz w:val="20"/>
                <w:szCs w:val="20"/>
              </w:rPr>
            </w:pPr>
            <w:r>
              <w:rPr>
                <w:rFonts w:hint="default"/>
                <w:sz w:val="20"/>
                <w:szCs w:val="20"/>
              </w:rPr>
              <w:t>Best regards,</w:t>
            </w:r>
          </w:p>
          <w:p>
            <w:pPr>
              <w:spacing w:after="0" w:line="240" w:lineRule="auto"/>
              <w:rPr>
                <w:rFonts w:hint="default"/>
                <w:sz w:val="20"/>
                <w:szCs w:val="20"/>
              </w:rPr>
            </w:pPr>
          </w:p>
          <w:p>
            <w:pPr>
              <w:spacing w:after="0" w:line="240" w:lineRule="auto"/>
              <w:rPr>
                <w:rFonts w:hint="default"/>
                <w:sz w:val="20"/>
                <w:szCs w:val="20"/>
              </w:rPr>
            </w:pPr>
            <w:r>
              <w:rPr>
                <w:rFonts w:hint="default"/>
                <w:sz w:val="20"/>
                <w:szCs w:val="20"/>
              </w:rPr>
              <w:t>Shuvam</w:t>
            </w:r>
          </w:p>
          <w:p>
            <w:pPr>
              <w:spacing w:after="0" w:line="240" w:lineRule="auto"/>
              <w:rPr>
                <w:sz w:val="20"/>
                <w:szCs w:val="20"/>
              </w:rPr>
            </w:pPr>
          </w:p>
          <w:p>
            <w:pPr>
              <w:spacing w:after="0" w:line="240" w:lineRule="auto"/>
              <w:rPr>
                <w:b/>
                <w:i/>
                <w:sz w:val="20"/>
                <w:szCs w:val="20"/>
              </w:rPr>
            </w:pPr>
          </w:p>
        </w:tc>
      </w:tr>
    </w:tbl>
    <w:p>
      <w:pPr>
        <w:rPr>
          <w:sz w:val="20"/>
          <w:szCs w:val="20"/>
        </w:rPr>
      </w:pPr>
    </w:p>
    <w:sectPr>
      <w:pgSz w:w="11906" w:h="16838"/>
      <w:pgMar w:top="993"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DengXian Light">
    <w:altName w:val="苹方-简"/>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0" w:usb3="00000000" w:csb0="0000019F" w:csb1="00000000"/>
  </w:font>
  <w:font w:name="DengXian">
    <w:altName w:val="苹方-简"/>
    <w:panose1 w:val="02010600030101010101"/>
    <w:charset w:val="86"/>
    <w:family w:val="auto"/>
    <w:pitch w:val="default"/>
    <w:sig w:usb0="00000000" w:usb1="00000000" w:usb2="00000016" w:usb3="00000000" w:csb0="0004000F" w:csb1="00000000"/>
  </w:font>
  <w:font w:name="Calibri">
    <w:altName w:val="Helvetica Neue"/>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SimSun">
    <w:altName w:val="宋体-简"/>
    <w:panose1 w:val="02010600030101010101"/>
    <w:charset w:val="86"/>
    <w:family w:val="roman"/>
    <w:pitch w:val="variable"/>
    <w:sig w:usb0="00000003" w:usb1="288F0000" w:usb2="00000016" w:usb3="00000000" w:csb0="00040001" w:csb1="00000000"/>
  </w:font>
  <w:font w:name="__DM_Sans_0dfae3">
    <w:altName w:val="苹方-简"/>
    <w:panose1 w:val="00000000000000000000"/>
    <w:charset w:val="00"/>
    <w:family w:val="auto"/>
    <w:pitch w:val="default"/>
    <w:sig w:usb0="00000000" w:usb1="00000000" w:usb2="00000000" w:usb3="00000000" w:csb0="00000000" w:csb1="00000000"/>
  </w:font>
  <w:font w:name="Inter var">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965"/>
    <w:rsid w:val="000D64E1"/>
    <w:rsid w:val="001931C6"/>
    <w:rsid w:val="0039065E"/>
    <w:rsid w:val="004F2ECF"/>
    <w:rsid w:val="006624F4"/>
    <w:rsid w:val="006776F6"/>
    <w:rsid w:val="00861BD9"/>
    <w:rsid w:val="008E07B5"/>
    <w:rsid w:val="00990745"/>
    <w:rsid w:val="009B6A6C"/>
    <w:rsid w:val="00AF0A56"/>
    <w:rsid w:val="00AF616A"/>
    <w:rsid w:val="00DC3063"/>
    <w:rsid w:val="00DC50E8"/>
    <w:rsid w:val="00DD42CB"/>
    <w:rsid w:val="00E2685D"/>
    <w:rsid w:val="00EC7B2A"/>
    <w:rsid w:val="00F24965"/>
    <w:rsid w:val="7FA63FC8"/>
    <w:rsid w:val="E3977FD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character" w:default="1" w:styleId="2">
    <w:name w:val="Default Paragraph Font"/>
    <w:unhideWhenUsed/>
    <w:uiPriority w:val="1"/>
  </w:style>
  <w:style w:type="table" w:default="1" w:styleId="3">
    <w:name w:val="Normal Table"/>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161</Words>
  <Characters>920</Characters>
  <Lines>7</Lines>
  <Paragraphs>2</Paragraphs>
  <TotalTime>0</TotalTime>
  <ScaleCrop>false</ScaleCrop>
  <LinksUpToDate>false</LinksUpToDate>
  <CharactersWithSpaces>1079</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2020-04-30T02:35:00Z</dcterms:created>
  <dc:creator>Dylan Jensen</dc:creator>
  <cp:lastModifiedBy>athenos</cp:lastModifiedBy>
  <cp:lastPrinted>2018-09-03T18:29:00Z</cp:lastPrinted>
  <dcterms:modified xsi:type="dcterms:W3CDTF">2024-04-29T22:21:57Z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