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CloudDesk Troubleshooting Guide</w:t>
      </w:r>
    </w:p>
    <w:tbl>
      <w:tblPr>
        <w:tblW w:type="auto" w:w="0"/>
        <w:jc w:val="center"/>
        <w:tblLook w:firstColumn="1" w:firstRow="1" w:lastColumn="0" w:lastRow="0" w:noHBand="0" w:noVBand="1" w:val="04A0"/>
      </w:tblPr>
      <w:tblGrid>
        <w:gridCol w:w="4320"/>
        <w:gridCol w:w="4320"/>
      </w:tblGrid>
      <w:tr>
        <w:tc>
          <w:tcPr>
            <w:tcW w:type="dxa" w:w="4320"/>
          </w:tcPr>
          <w:p>
            <w:r>
              <w:rPr>
                <w:b/>
              </w:rPr>
              <w:t>Document Type</w:t>
            </w:r>
          </w:p>
        </w:tc>
        <w:tc>
          <w:tcPr>
            <w:tcW w:type="dxa" w:w="4320"/>
          </w:tcPr>
          <w:p>
            <w:r>
              <w:t>Troubleshooting</w:t>
            </w:r>
          </w:p>
        </w:tc>
      </w:tr>
      <w:tr>
        <w:tc>
          <w:tcPr>
            <w:tcW w:type="dxa" w:w="4320"/>
          </w:tcPr>
          <w:p>
            <w:r>
              <w:rPr>
                <w:b/>
              </w:rPr>
              <w:t>Product</w:t>
            </w:r>
          </w:p>
        </w:tc>
        <w:tc>
          <w:tcPr>
            <w:tcW w:type="dxa" w:w="4320"/>
          </w:tcPr>
          <w:p>
            <w:r>
              <w:t>CloudDesk</w:t>
            </w:r>
          </w:p>
        </w:tc>
      </w:tr>
      <w:tr>
        <w:tc>
          <w:tcPr>
            <w:tcW w:type="dxa" w:w="4320"/>
          </w:tcPr>
          <w:p>
            <w:r>
              <w:rPr>
                <w:b/>
              </w:rPr>
              <w:t>Version</w:t>
            </w:r>
          </w:p>
        </w:tc>
        <w:tc>
          <w:tcPr>
            <w:tcW w:type="dxa" w:w="4320"/>
          </w:tcPr>
          <w:p>
            <w:r>
              <w:t>2.0</w:t>
            </w:r>
          </w:p>
        </w:tc>
      </w:tr>
      <w:tr>
        <w:tc>
          <w:tcPr>
            <w:tcW w:type="dxa" w:w="4320"/>
          </w:tcPr>
          <w:p>
            <w:r>
              <w:rPr>
                <w:b/>
              </w:rPr>
              <w:t>Audience</w:t>
            </w:r>
          </w:p>
        </w:tc>
        <w:tc>
          <w:tcPr>
            <w:tcW w:type="dxa" w:w="4320"/>
          </w:tcPr>
          <w:p>
            <w:r>
              <w:t>Support and Administrators</w:t>
            </w:r>
          </w:p>
        </w:tc>
      </w:tr>
      <w:tr>
        <w:tc>
          <w:tcPr>
            <w:tcW w:type="dxa" w:w="4320"/>
          </w:tcPr>
          <w:p>
            <w:r>
              <w:rPr>
                <w:b/>
              </w:rPr>
              <w:t>Status</w:t>
            </w:r>
          </w:p>
        </w:tc>
        <w:tc>
          <w:tcPr>
            <w:tcW w:type="dxa" w:w="4320"/>
          </w:tcPr>
          <w:p>
            <w:r>
              <w:t>Current</w:t>
            </w:r>
          </w:p>
        </w:tc>
      </w:tr>
      <w:tr>
        <w:tc>
          <w:tcPr>
            <w:tcW w:type="dxa" w:w="4320"/>
          </w:tcPr>
          <w:p>
            <w:r>
              <w:rPr>
                <w:b/>
              </w:rPr>
              <w:t>Publication Date</w:t>
            </w:r>
          </w:p>
        </w:tc>
        <w:tc>
          <w:tcPr>
            <w:tcW w:type="dxa" w:w="4320"/>
          </w:tcPr>
          <w:p>
            <w:r>
              <w:t>2026-06-18</w:t>
            </w:r>
          </w:p>
        </w:tc>
      </w:tr>
    </w:tbl>
    <w:p/>
    <w:p>
      <w:pPr>
        <w:pStyle w:val="Heading1"/>
      </w:pPr>
      <w:r>
        <w:t>Login failures</w:t>
      </w:r>
    </w:p>
    <w:p>
      <w:r>
        <w:t>If users cannot sign in, confirm that the organization's authentication mode matches the configured identity provider. For local authentication, verify the account is active. For SSO, check the identity provider metadata and clock synchronization.</w:t>
      </w:r>
    </w:p>
    <w:p>
      <w:pPr>
        <w:pStyle w:val="Heading1"/>
      </w:pPr>
      <w:r>
        <w:t>401 Unauthorized API errors</w:t>
      </w:r>
    </w:p>
    <w:p>
      <w:r>
        <w:t>A 401 response generally means the access token is missing, expired, malformed, or issued for a different organization. Obtain a fresh token and verify that the token audience matches the CloudDesk organization.</w:t>
      </w:r>
    </w:p>
    <w:p>
      <w:pPr>
        <w:pStyle w:val="Heading1"/>
      </w:pPr>
      <w:r>
        <w:t>403 Forbidden API errors</w:t>
      </w:r>
    </w:p>
    <w:p>
      <w:r>
        <w:t>A 403 response means the caller was authenticated but does not have permission for the requested operation. Check the API client's scopes and organization role.</w:t>
      </w:r>
    </w:p>
    <w:p>
      <w:pPr>
        <w:pStyle w:val="Heading1"/>
      </w:pPr>
      <w:r>
        <w:t>Synchronization failures</w:t>
      </w:r>
    </w:p>
    <w:p>
      <w:r>
        <w:t>If synchronization repeatedly fails, open Integrations &gt; Sync Status and inspect the error detail. A common cause is an expired integration credential. Reauthorize the integration and trigger a retry.</w:t>
      </w:r>
    </w:p>
    <w:p>
      <w:pPr>
        <w:pStyle w:val="Heading1"/>
      </w:pPr>
      <w:r>
        <w:t>Large synchronization jobs</w:t>
      </w:r>
    </w:p>
    <w:p>
      <w:r>
        <w:t>For organizations with more than 10,000 records, synchronization can take longer than the default request timeout. Use scheduled batch synchronization instead of repeatedly triggering manual full synchronization.</w:t>
      </w:r>
    </w:p>
    <w:p>
      <w:pPr>
        <w:pStyle w:val="Heading1"/>
      </w:pPr>
      <w:r>
        <w:t>Service will not start</w:t>
      </w:r>
    </w:p>
    <w:p>
      <w:r>
        <w:t>Check database connectivity, the configured port, and the application log. A missing required configuration value can prevent startup.</w:t>
      </w:r>
    </w:p>
    <w:p>
      <w:pPr>
        <w:pStyle w:val="Heading1"/>
      </w:pPr>
      <w:r>
        <w:t>Version note</w:t>
      </w:r>
    </w:p>
    <w:p>
      <w:r>
        <w:t>Some troubleshooting advice depends on the product version. Always compare the issue against the current Known Issues bulletin before applying a workaround.</w:t>
      </w:r>
    </w:p>
    <w:p/>
    <w:p>
      <w:r>
        <w:rPr>
          <w:i/>
        </w:rPr>
        <w:t>Fictional POC documentation — CloudDesk.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