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20"/>
          <w:szCs w:val="20"/>
        </w:rPr>
        <w:t xml:space="preserve">XYZ CORPORATION</w:t>
      </w:r>
    </w:p>
    <w:p>
      <w:pPr>
        <w:spacing w:after="40"/>
      </w:pPr>
      <w:r>
        <w:rPr>
          <w:b/>
          <w:bCs/>
          <w:color w:val="1F3864"/>
          <w:sz w:val="40"/>
          <w:szCs w:val="40"/>
        </w:rPr>
        <w:t xml:space="preserve">PolicyHub User Guide — HR Policy Document Services</w:t>
      </w:r>
    </w:p>
    <w:p>
      <w:pPr>
        <w:spacing w:after="200"/>
      </w:pPr>
      <w:r>
        <w:rPr>
          <w:i/>
          <w:iCs/>
          <w:color w:val="595959"/>
          <w:sz w:val="22"/>
          <w:szCs w:val="22"/>
        </w:rPr>
        <w:t xml:space="preserve">User Guide · Version 1.0</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400"/>
        <w:gridCol w:w="3720"/>
        <w:gridCol w:w="2400"/>
        <w:gridCol w:w="3720"/>
      </w:tblGrid>
      <w:tr>
        <w:tc>
          <w:tcPr>
            <w:tcW w:type="dxa" w:w="2400"/>
            <w:shd w:fill="1F3864" w:val="clear"/>
            <w:tcMar>
              <w:top w:type="dxa" w:w="60"/>
              <w:left w:type="dxa" w:w="100"/>
              <w:bottom w:type="dxa" w:w="60"/>
              <w:right w:type="dxa" w:w="100"/>
            </w:tcMar>
          </w:tcPr>
          <w:p>
            <w:r>
              <w:rPr>
                <w:b/>
                <w:bCs/>
                <w:color w:val="FFFFFF"/>
                <w:sz w:val="18"/>
                <w:szCs w:val="18"/>
              </w:rPr>
              <w:t xml:space="preserve">Document ID</w:t>
            </w:r>
          </w:p>
        </w:tc>
        <w:tc>
          <w:tcPr>
            <w:tcW w:type="dxa" w:w="3720"/>
            <w:shd w:fill="FFFFFF" w:val="clear"/>
            <w:tcMar>
              <w:top w:type="dxa" w:w="60"/>
              <w:left w:type="dxa" w:w="100"/>
              <w:bottom w:type="dxa" w:w="60"/>
              <w:right w:type="dxa" w:w="100"/>
            </w:tcMar>
          </w:tcPr>
          <w:p>
            <w:r>
              <w:rPr>
                <w:sz w:val="18"/>
                <w:szCs w:val="18"/>
              </w:rPr>
              <w:t xml:space="preserve">XYZ-PH-UG-1.0</w:t>
            </w:r>
          </w:p>
        </w:tc>
        <w:tc>
          <w:tcPr>
            <w:tcW w:type="dxa" w:w="2400"/>
            <w:shd w:fill="1F3864" w:val="clear"/>
            <w:tcMar>
              <w:top w:type="dxa" w:w="60"/>
              <w:left w:type="dxa" w:w="100"/>
              <w:bottom w:type="dxa" w:w="60"/>
              <w:right w:type="dxa" w:w="100"/>
            </w:tcMar>
          </w:tcPr>
          <w:p>
            <w:r>
              <w:rPr>
                <w:b/>
                <w:bCs/>
                <w:color w:val="FFFFFF"/>
                <w:sz w:val="18"/>
                <w:szCs w:val="18"/>
              </w:rPr>
              <w:t xml:space="preserve">Version</w:t>
            </w:r>
          </w:p>
        </w:tc>
        <w:tc>
          <w:tcPr>
            <w:tcW w:type="dxa" w:w="3720"/>
            <w:shd w:fill="FFFFFF" w:val="clear"/>
            <w:tcMar>
              <w:top w:type="dxa" w:w="60"/>
              <w:left w:type="dxa" w:w="100"/>
              <w:bottom w:type="dxa" w:w="60"/>
              <w:right w:type="dxa" w:w="100"/>
            </w:tcMar>
          </w:tcPr>
          <w:p>
            <w:r>
              <w:rPr>
                <w:sz w:val="18"/>
                <w:szCs w:val="18"/>
              </w:rPr>
              <w:t xml:space="preserve">1.0</w:t>
            </w:r>
          </w:p>
        </w:tc>
      </w:tr>
      <w:tr>
        <w:tc>
          <w:tcPr>
            <w:tcW w:type="dxa" w:w="2400"/>
            <w:shd w:fill="1F3864" w:val="clear"/>
            <w:tcMar>
              <w:top w:type="dxa" w:w="60"/>
              <w:left w:type="dxa" w:w="100"/>
              <w:bottom w:type="dxa" w:w="60"/>
              <w:right w:type="dxa" w:w="100"/>
            </w:tcMar>
          </w:tcPr>
          <w:p>
            <w:r>
              <w:rPr>
                <w:b/>
                <w:bCs/>
                <w:color w:val="FFFFFF"/>
                <w:sz w:val="18"/>
                <w:szCs w:val="18"/>
              </w:rPr>
              <w:t xml:space="preserve">Document Type</w:t>
            </w:r>
          </w:p>
        </w:tc>
        <w:tc>
          <w:tcPr>
            <w:tcW w:type="dxa" w:w="3720"/>
            <w:shd w:fill="FFFFFF" w:val="clear"/>
            <w:tcMar>
              <w:top w:type="dxa" w:w="60"/>
              <w:left w:type="dxa" w:w="100"/>
              <w:bottom w:type="dxa" w:w="60"/>
              <w:right w:type="dxa" w:w="100"/>
            </w:tcMar>
          </w:tcPr>
          <w:p>
            <w:r>
              <w:rPr>
                <w:sz w:val="18"/>
                <w:szCs w:val="18"/>
              </w:rPr>
              <w:t xml:space="preserve">User Guide</w:t>
            </w:r>
          </w:p>
        </w:tc>
        <w:tc>
          <w:tcPr>
            <w:tcW w:type="dxa" w:w="2400"/>
            <w:shd w:fill="1F3864" w:val="clear"/>
            <w:tcMar>
              <w:top w:type="dxa" w:w="60"/>
              <w:left w:type="dxa" w:w="100"/>
              <w:bottom w:type="dxa" w:w="60"/>
              <w:right w:type="dxa" w:w="100"/>
            </w:tcMar>
          </w:tcPr>
          <w:p>
            <w:r>
              <w:rPr>
                <w:b/>
                <w:bCs/>
                <w:color w:val="FFFFFF"/>
                <w:sz w:val="18"/>
                <w:szCs w:val="18"/>
              </w:rPr>
              <w:t xml:space="preserve">Approval Status</w:t>
            </w:r>
          </w:p>
        </w:tc>
        <w:tc>
          <w:tcPr>
            <w:tcW w:type="dxa" w:w="3720"/>
            <w:shd w:fill="FFFFFF" w:val="clear"/>
            <w:tcMar>
              <w:top w:type="dxa" w:w="60"/>
              <w:left w:type="dxa" w:w="100"/>
              <w:bottom w:type="dxa" w:w="60"/>
              <w:right w:type="dxa" w:w="100"/>
            </w:tcMar>
          </w:tcPr>
          <w:p>
            <w:r>
              <w:rPr>
                <w:sz w:val="18"/>
                <w:szCs w:val="18"/>
              </w:rPr>
              <w:t xml:space="preserve">Approved</w:t>
            </w:r>
          </w:p>
        </w:tc>
      </w:tr>
      <w:tr>
        <w:tc>
          <w:tcPr>
            <w:tcW w:type="dxa" w:w="2400"/>
            <w:shd w:fill="1F3864" w:val="clear"/>
            <w:tcMar>
              <w:top w:type="dxa" w:w="60"/>
              <w:left w:type="dxa" w:w="100"/>
              <w:bottom w:type="dxa" w:w="60"/>
              <w:right w:type="dxa" w:w="100"/>
            </w:tcMar>
          </w:tcPr>
          <w:p>
            <w:r>
              <w:rPr>
                <w:b/>
                <w:bCs/>
                <w:color w:val="FFFFFF"/>
                <w:sz w:val="18"/>
                <w:szCs w:val="18"/>
              </w:rPr>
              <w:t xml:space="preserve">Owner</w:t>
            </w:r>
          </w:p>
        </w:tc>
        <w:tc>
          <w:tcPr>
            <w:tcW w:type="dxa" w:w="3720"/>
            <w:shd w:fill="FFFFFF" w:val="clear"/>
            <w:tcMar>
              <w:top w:type="dxa" w:w="60"/>
              <w:left w:type="dxa" w:w="100"/>
              <w:bottom w:type="dxa" w:w="60"/>
              <w:right w:type="dxa" w:w="100"/>
            </w:tcMar>
          </w:tcPr>
          <w:p>
            <w:r>
              <w:rPr>
                <w:sz w:val="18"/>
                <w:szCs w:val="18"/>
              </w:rPr>
              <w:t xml:space="preserve">S. Nakamura, HR Systems Lead</w:t>
            </w:r>
          </w:p>
        </w:tc>
        <w:tc>
          <w:tcPr>
            <w:tcW w:type="dxa" w:w="2400"/>
            <w:shd w:fill="1F3864" w:val="clear"/>
            <w:tcMar>
              <w:top w:type="dxa" w:w="60"/>
              <w:left w:type="dxa" w:w="100"/>
              <w:bottom w:type="dxa" w:w="60"/>
              <w:right w:type="dxa" w:w="100"/>
            </w:tcMar>
          </w:tcPr>
          <w:p>
            <w:r>
              <w:rPr>
                <w:b/>
                <w:bCs/>
                <w:color w:val="FFFFFF"/>
                <w:sz w:val="18"/>
                <w:szCs w:val="18"/>
              </w:rPr>
              <w:t xml:space="preserve">Department</w:t>
            </w:r>
          </w:p>
        </w:tc>
        <w:tc>
          <w:tcPr>
            <w:tcW w:type="dxa" w:w="3720"/>
            <w:shd w:fill="FFFFFF" w:val="clear"/>
            <w:tcMar>
              <w:top w:type="dxa" w:w="60"/>
              <w:left w:type="dxa" w:w="100"/>
              <w:bottom w:type="dxa" w:w="60"/>
              <w:right w:type="dxa" w:w="100"/>
            </w:tcMar>
          </w:tcPr>
          <w:p>
            <w:r>
              <w:rPr>
                <w:sz w:val="18"/>
                <w:szCs w:val="18"/>
              </w:rPr>
              <w:t xml:space="preserve">Human Resources — HR Technology</w:t>
            </w:r>
          </w:p>
        </w:tc>
      </w:tr>
      <w:tr>
        <w:tc>
          <w:tcPr>
            <w:tcW w:type="dxa" w:w="2400"/>
            <w:shd w:fill="1F3864" w:val="clear"/>
            <w:tcMar>
              <w:top w:type="dxa" w:w="60"/>
              <w:left w:type="dxa" w:w="100"/>
              <w:bottom w:type="dxa" w:w="60"/>
              <w:right w:type="dxa" w:w="100"/>
            </w:tcMar>
          </w:tcPr>
          <w:p>
            <w:r>
              <w:rPr>
                <w:b/>
                <w:bCs/>
                <w:color w:val="FFFFFF"/>
                <w:sz w:val="18"/>
                <w:szCs w:val="18"/>
              </w:rPr>
              <w:t xml:space="preserve">Audience</w:t>
            </w:r>
          </w:p>
        </w:tc>
        <w:tc>
          <w:tcPr>
            <w:tcW w:type="dxa" w:w="3720"/>
            <w:shd w:fill="FFFFFF" w:val="clear"/>
            <w:tcMar>
              <w:top w:type="dxa" w:w="60"/>
              <w:left w:type="dxa" w:w="100"/>
              <w:bottom w:type="dxa" w:w="60"/>
              <w:right w:type="dxa" w:w="100"/>
            </w:tcMar>
          </w:tcPr>
          <w:p>
            <w:r>
              <w:rPr>
                <w:sz w:val="18"/>
                <w:szCs w:val="18"/>
              </w:rPr>
              <w:t xml:space="preserve">End User</w:t>
            </w:r>
          </w:p>
        </w:tc>
        <w:tc>
          <w:tcPr>
            <w:tcW w:type="dxa" w:w="2400"/>
            <w:shd w:fill="1F3864" w:val="clear"/>
            <w:tcMar>
              <w:top w:type="dxa" w:w="60"/>
              <w:left w:type="dxa" w:w="100"/>
              <w:bottom w:type="dxa" w:w="60"/>
              <w:right w:type="dxa" w:w="100"/>
            </w:tcMar>
          </w:tcPr>
          <w:p>
            <w:r>
              <w:rPr>
                <w:b/>
                <w:bCs/>
                <w:color w:val="FFFFFF"/>
                <w:sz w:val="18"/>
                <w:szCs w:val="18"/>
              </w:rPr>
              <w:t xml:space="preserve">Compliance Classification</w:t>
            </w:r>
          </w:p>
        </w:tc>
        <w:tc>
          <w:tcPr>
            <w:tcW w:type="dxa" w:w="3720"/>
            <w:shd w:fill="FFFFFF" w:val="clear"/>
            <w:tcMar>
              <w:top w:type="dxa" w:w="60"/>
              <w:left w:type="dxa" w:w="100"/>
              <w:bottom w:type="dxa" w:w="60"/>
              <w:right w:type="dxa" w:w="100"/>
            </w:tcMar>
          </w:tcPr>
          <w:p>
            <w:r>
              <w:rPr>
                <w:sz w:val="18"/>
                <w:szCs w:val="18"/>
              </w:rPr>
              <w:t xml:space="preserve">Internal Use Only</w:t>
            </w:r>
          </w:p>
        </w:tc>
      </w:tr>
      <w:tr>
        <w:tc>
          <w:tcPr>
            <w:tcW w:type="dxa" w:w="2400"/>
            <w:shd w:fill="1F3864" w:val="clear"/>
            <w:tcMar>
              <w:top w:type="dxa" w:w="60"/>
              <w:left w:type="dxa" w:w="100"/>
              <w:bottom w:type="dxa" w:w="60"/>
              <w:right w:type="dxa" w:w="100"/>
            </w:tcMar>
          </w:tcPr>
          <w:p>
            <w:r>
              <w:rPr>
                <w:b/>
                <w:bCs/>
                <w:color w:val="FFFFFF"/>
                <w:sz w:val="18"/>
                <w:szCs w:val="18"/>
              </w:rPr>
              <w:t xml:space="preserve">Last Updated</w:t>
            </w:r>
          </w:p>
        </w:tc>
        <w:tc>
          <w:tcPr>
            <w:tcW w:type="dxa" w:w="3720"/>
            <w:shd w:fill="FFFFFF" w:val="clear"/>
            <w:tcMar>
              <w:top w:type="dxa" w:w="60"/>
              <w:left w:type="dxa" w:w="100"/>
              <w:bottom w:type="dxa" w:w="60"/>
              <w:right w:type="dxa" w:w="100"/>
            </w:tcMar>
          </w:tcPr>
          <w:p>
            <w:r>
              <w:rPr>
                <w:sz w:val="18"/>
                <w:szCs w:val="18"/>
              </w:rPr>
              <w:t xml:space="preserve">January 12, 2024</w:t>
            </w:r>
          </w:p>
        </w:tc>
        <w:tc>
          <w:tcPr>
            <w:tcW w:type="dxa" w:w="2400"/>
            <w:shd w:fill="1F3864" w:val="clear"/>
            <w:tcMar>
              <w:top w:type="dxa" w:w="60"/>
              <w:left w:type="dxa" w:w="100"/>
              <w:bottom w:type="dxa" w:w="60"/>
              <w:right w:type="dxa" w:w="100"/>
            </w:tcMar>
          </w:tcPr>
          <w:p>
            <w:r>
              <w:rPr>
                <w:b/>
                <w:bCs/>
                <w:color w:val="FFFFFF"/>
                <w:sz w:val="18"/>
                <w:szCs w:val="18"/>
              </w:rPr>
              <w:t xml:space="preserve">Applies To</w:t>
            </w:r>
          </w:p>
        </w:tc>
        <w:tc>
          <w:tcPr>
            <w:tcW w:type="dxa" w:w="3720"/>
            <w:shd w:fill="FFFFFF" w:val="clear"/>
            <w:tcMar>
              <w:top w:type="dxa" w:w="60"/>
              <w:left w:type="dxa" w:w="100"/>
              <w:bottom w:type="dxa" w:w="60"/>
              <w:right w:type="dxa" w:w="100"/>
            </w:tcMar>
          </w:tcPr>
          <w:p>
            <w:r>
              <w:rPr>
                <w:sz w:val="18"/>
                <w:szCs w:val="18"/>
              </w:rPr>
              <w:t xml:space="preserve">PolicyHub Portal 1.0 through 3.0 (core browsing features unchanged)</w:t>
            </w:r>
          </w:p>
        </w:tc>
      </w:tr>
      <w:tr>
        <w:tc>
          <w:tcPr>
            <w:tcW w:type="dxa" w:w="2400"/>
            <w:shd w:fill="1F3864" w:val="clear"/>
            <w:tcMar>
              <w:top w:type="dxa" w:w="60"/>
              <w:left w:type="dxa" w:w="100"/>
              <w:bottom w:type="dxa" w:w="60"/>
              <w:right w:type="dxa" w:w="100"/>
            </w:tcMar>
          </w:tcPr>
          <w:p>
            <w:r>
              <w:rPr>
                <w:b/>
                <w:bCs/>
                <w:color w:val="FFFFFF"/>
                <w:sz w:val="18"/>
                <w:szCs w:val="18"/>
              </w:rPr>
              <w:t xml:space="preserve">Taxonomy Tags</w:t>
            </w:r>
          </w:p>
        </w:tc>
        <w:tc>
          <w:tcPr>
            <w:tcW w:type="dxa" w:w="3720"/>
            <w:shd w:fill="FFFFFF" w:val="clear"/>
            <w:tcMar>
              <w:top w:type="dxa" w:w="60"/>
              <w:left w:type="dxa" w:w="100"/>
              <w:bottom w:type="dxa" w:w="60"/>
              <w:right w:type="dxa" w:w="100"/>
            </w:tcMar>
          </w:tcPr>
          <w:p>
            <w:r>
              <w:rPr>
                <w:sz w:val="18"/>
                <w:szCs w:val="18"/>
              </w:rPr>
              <w:t xml:space="preserve">user-guide; hr-policy; portal; onboarding</w:t>
            </w:r>
          </w:p>
        </w:tc>
        <w:tc>
          <w:tcPr>
            <w:tcW w:type="dxa" w:w="2400"/>
            <w:shd w:fill="1F3864" w:val="clear"/>
            <w:tcMar>
              <w:top w:type="dxa" w:w="60"/>
              <w:left w:type="dxa" w:w="100"/>
              <w:bottom w:type="dxa" w:w="60"/>
              <w:right w:type="dxa" w:w="100"/>
            </w:tcMar>
          </w:tcPr>
          <w:p>
            <w:r>
              <w:rPr>
                <w:b/>
                <w:bCs/>
                <w:color w:val="FFFFFF"/>
                <w:sz w:val="18"/>
                <w:szCs w:val="18"/>
              </w:rPr>
              <w:t xml:space="preserve">Keywords</w:t>
            </w:r>
          </w:p>
        </w:tc>
        <w:tc>
          <w:tcPr>
            <w:tcW w:type="dxa" w:w="3720"/>
            <w:shd w:fill="FFFFFF" w:val="clear"/>
            <w:tcMar>
              <w:top w:type="dxa" w:w="60"/>
              <w:left w:type="dxa" w:w="100"/>
              <w:bottom w:type="dxa" w:w="60"/>
              <w:right w:type="dxa" w:w="100"/>
            </w:tcMar>
          </w:tcPr>
          <w:p>
            <w:r>
              <w:rPr>
                <w:sz w:val="18"/>
                <w:szCs w:val="18"/>
              </w:rPr>
              <w:t xml:space="preserve">browse policies, search, download, acknowledgment, PolicyHub</w:t>
            </w:r>
          </w:p>
        </w:tc>
      </w:tr>
    </w:tbl>
    <w:p>
      <w:pPr>
        <w:spacing w:after="160"/>
      </w:pPr>
    </w:p>
    <w:p>
      <w:pPr>
        <w:pStyle w:val="Heading2"/>
        <w:spacing w:after="100" w:before="200"/>
      </w:pPr>
      <w:r>
        <w:t xml:space="preserve">Summary</w:t>
      </w:r>
    </w:p>
    <w:p>
      <w:pPr>
        <w:spacing w:after="120"/>
      </w:pPr>
      <w:r>
        <w:rPr>
          <w:sz w:val="21"/>
          <w:szCs w:val="21"/>
        </w:rPr>
        <w:t xml:space="preserve">This guide walks employees through using the PolicyHub portal to find, read, download, and where required, acknowledge HR policy documents. It covers the core browsing experience established at 1.0 launch and notes where later releases (self-service requests, e-signature, AI assistant) extend the experience — see the corresponding FAQ and Release Notes for version-specific detail.</w:t>
      </w:r>
    </w:p>
    <w:p>
      <w:pPr>
        <w:pStyle w:val="Heading2"/>
        <w:spacing w:after="100" w:before="200"/>
      </w:pPr>
      <w:r>
        <w:t xml:space="preserve">Table of Contents</w:t>
      </w:r>
    </w:p>
    <w:p>
      <w:pPr>
        <w:spacing w:after="70"/>
      </w:pPr>
      <w:r>
        <w:rPr>
          <w:sz w:val="21"/>
          <w:szCs w:val="21"/>
        </w:rPr>
        <w:t xml:space="preserve">1. Introduction</w:t>
      </w:r>
    </w:p>
    <w:p>
      <w:pPr>
        <w:spacing w:after="70"/>
      </w:pPr>
      <w:r>
        <w:rPr>
          <w:sz w:val="21"/>
          <w:szCs w:val="21"/>
        </w:rPr>
        <w:t xml:space="preserve">2. Logging In</w:t>
      </w:r>
    </w:p>
    <w:p>
      <w:pPr>
        <w:spacing w:after="70"/>
      </w:pPr>
      <w:r>
        <w:rPr>
          <w:sz w:val="21"/>
          <w:szCs w:val="21"/>
        </w:rPr>
        <w:t xml:space="preserve">3. Browsing and Searching Policies</w:t>
      </w:r>
    </w:p>
    <w:p>
      <w:pPr>
        <w:spacing w:after="70"/>
      </w:pPr>
      <w:r>
        <w:rPr>
          <w:sz w:val="21"/>
          <w:szCs w:val="21"/>
        </w:rPr>
        <w:t xml:space="preserve">4. Downloading a Policy</w:t>
      </w:r>
    </w:p>
    <w:p>
      <w:pPr>
        <w:spacing w:after="70"/>
      </w:pPr>
      <w:r>
        <w:rPr>
          <w:sz w:val="21"/>
          <w:szCs w:val="21"/>
        </w:rPr>
        <w:t xml:space="preserve">5. Submitting a Request or Acknowledging a Policy (2.0 and later)</w:t>
      </w:r>
    </w:p>
    <w:p>
      <w:pPr>
        <w:spacing w:after="70"/>
      </w:pPr>
      <w:r>
        <w:rPr>
          <w:sz w:val="21"/>
          <w:szCs w:val="21"/>
        </w:rPr>
        <w:t xml:space="preserve">6. Using the AI Policy Assistant (3.0 and later)</w:t>
      </w:r>
    </w:p>
    <w:p>
      <w:pPr>
        <w:spacing w:after="70"/>
      </w:pPr>
      <w:r>
        <w:rPr>
          <w:sz w:val="21"/>
          <w:szCs w:val="21"/>
        </w:rPr>
        <w:t xml:space="preserve">7. Getting Help</w:t>
      </w:r>
    </w:p>
    <w:p>
      <w:pPr>
        <w:spacing w:after="70"/>
      </w:pPr>
      <w:r>
        <w:rPr>
          <w:sz w:val="21"/>
          <w:szCs w:val="21"/>
        </w:rPr>
        <w:t xml:space="preserve">8. Warnings &amp; Constraints</w:t>
      </w:r>
    </w:p>
    <w:p>
      <w:pPr>
        <w:spacing w:after="70"/>
      </w:pPr>
      <w:r>
        <w:rPr>
          <w:sz w:val="21"/>
          <w:szCs w:val="21"/>
        </w:rPr>
        <w:t xml:space="preserve">9. References</w:t>
      </w:r>
    </w:p>
    <w:p>
      <w:pPr>
        <w:spacing w:after="70"/>
      </w:pPr>
      <w:r>
        <w:rPr>
          <w:sz w:val="21"/>
          <w:szCs w:val="21"/>
        </w:rPr>
        <w:t xml:space="preserve">10. Related Documents</w:t>
      </w:r>
    </w:p>
    <w:p>
      <w:pPr>
        <w:spacing w:after="70"/>
      </w:pPr>
      <w:r>
        <w:rPr>
          <w:sz w:val="21"/>
          <w:szCs w:val="21"/>
        </w:rPr>
        <w:t xml:space="preserve">11. Revision History</w:t>
      </w:r>
    </w:p>
    <w:p>
      <w:r>
        <w:br w:type="page"/>
      </w:r>
    </w:p>
    <w:p>
      <w:pPr>
        <w:pStyle w:val="Heading1"/>
        <w:spacing w:after="140" w:before="280"/>
      </w:pPr>
      <w:r>
        <w:t xml:space="preserve">1. Introduction</w:t>
      </w:r>
    </w:p>
    <w:p>
      <w:pPr>
        <w:spacing w:after="120"/>
      </w:pPr>
      <w:r>
        <w:rPr>
          <w:sz w:val="21"/>
          <w:szCs w:val="21"/>
        </w:rPr>
        <w:t xml:space="preserve">PolicyHub is the single place to find current, authoritative HR policy documents at XYZ Corporation. This guide is written for all employees, regardless of role, and assumes no prior familiarity with the platform.</w:t>
      </w:r>
    </w:p>
    <w:p>
      <w:pPr>
        <w:spacing w:after="80"/>
      </w:pPr>
    </w:p>
    <w:p>
      <w:pPr>
        <w:pStyle w:val="Heading1"/>
        <w:spacing w:after="140" w:before="280"/>
      </w:pPr>
      <w:r>
        <w:t xml:space="preserve">2. Logging In</w:t>
      </w:r>
    </w:p>
    <w:p>
      <w:pPr>
        <w:spacing w:after="120"/>
      </w:pPr>
      <w:r>
        <w:rPr>
          <w:sz w:val="21"/>
          <w:szCs w:val="21"/>
        </w:rPr>
        <w:t xml:space="preserve">Access PolicyHub from the XYZ intranet home page or directly at the PolicyHub URL. Login uses your standard corporate single sign-on; no separate account is needed.</w:t>
      </w:r>
    </w:p>
    <w:p>
      <w:pPr>
        <w:spacing w:after="80"/>
      </w:pPr>
    </w:p>
    <w:p>
      <w:pPr>
        <w:pStyle w:val="Heading1"/>
        <w:spacing w:after="140" w:before="280"/>
      </w:pPr>
      <w:r>
        <w:t xml:space="preserve">3. Browsing and Searching Policies</w:t>
      </w:r>
    </w:p>
    <w:p>
      <w:pPr>
        <w:pStyle w:val="ListParagraph"/>
        <w:numPr>
          <w:ilvl w:val="0"/>
          <w:numId w:val="1"/>
        </w:numPr>
        <w:spacing w:after="60"/>
      </w:pPr>
      <w:r>
        <w:rPr>
          <w:sz w:val="21"/>
          <w:szCs w:val="21"/>
        </w:rPr>
        <w:t xml:space="preserve">Use the category browser (Leave, Conduct, Compensation, Benefits, Safety) on the home page to browse by topic.</w:t>
      </w:r>
    </w:p>
    <w:p>
      <w:pPr>
        <w:pStyle w:val="ListParagraph"/>
        <w:numPr>
          <w:ilvl w:val="0"/>
          <w:numId w:val="1"/>
        </w:numPr>
        <w:spacing w:after="60"/>
      </w:pPr>
      <w:r>
        <w:rPr>
          <w:sz w:val="21"/>
          <w:szCs w:val="21"/>
        </w:rPr>
        <w:t xml:space="preserve">Use the search box at the top of any page to search by keyword across policy titles and summaries.</w:t>
      </w:r>
    </w:p>
    <w:p>
      <w:pPr>
        <w:pStyle w:val="ListParagraph"/>
        <w:numPr>
          <w:ilvl w:val="0"/>
          <w:numId w:val="1"/>
        </w:numPr>
        <w:spacing w:after="60"/>
      </w:pPr>
      <w:r>
        <w:rPr>
          <w:sz w:val="21"/>
          <w:szCs w:val="21"/>
        </w:rPr>
        <w:t xml:space="preserve">Each policy page shows its Last Updated date and, from 3.0 onward, a country variant selector where applicable.</w:t>
      </w:r>
    </w:p>
    <w:p>
      <w:pPr>
        <w:spacing w:after="80"/>
      </w:pPr>
    </w:p>
    <w:p>
      <w:pPr>
        <w:pStyle w:val="Heading1"/>
        <w:spacing w:after="140" w:before="280"/>
      </w:pPr>
      <w:r>
        <w:t xml:space="preserve">4. Downloading a Policy</w:t>
      </w:r>
    </w:p>
    <w:p>
      <w:pPr>
        <w:pStyle w:val="ListParagraph"/>
        <w:numPr>
          <w:ilvl w:val="0"/>
          <w:numId w:val="2"/>
        </w:numPr>
        <w:spacing w:after="60"/>
      </w:pPr>
      <w:r>
        <w:rPr>
          <w:sz w:val="21"/>
          <w:szCs w:val="21"/>
        </w:rPr>
        <w:t xml:space="preserve">Open the policy page you need.</w:t>
      </w:r>
    </w:p>
    <w:p>
      <w:pPr>
        <w:pStyle w:val="ListParagraph"/>
        <w:numPr>
          <w:ilvl w:val="0"/>
          <w:numId w:val="2"/>
        </w:numPr>
        <w:spacing w:after="60"/>
      </w:pPr>
      <w:r>
        <w:rPr>
          <w:sz w:val="21"/>
          <w:szCs w:val="21"/>
        </w:rPr>
        <w:t xml:space="preserve">Click Download PDF.</w:t>
      </w:r>
    </w:p>
    <w:p>
      <w:pPr>
        <w:pStyle w:val="ListParagraph"/>
        <w:numPr>
          <w:ilvl w:val="0"/>
          <w:numId w:val="2"/>
        </w:numPr>
        <w:spacing w:after="60"/>
      </w:pPr>
      <w:r>
        <w:rPr>
          <w:sz w:val="21"/>
          <w:szCs w:val="21"/>
        </w:rPr>
        <w:t xml:space="preserve">Save the file locally, keeping in mind downloaded copies are not automatically refreshed if the policy later changes.</w:t>
      </w:r>
    </w:p>
    <w:p>
      <w:pPr>
        <w:spacing w:after="80"/>
      </w:pPr>
    </w:p>
    <w:p>
      <w:pPr>
        <w:pStyle w:val="Heading1"/>
        <w:spacing w:after="140" w:before="280"/>
      </w:pPr>
      <w:r>
        <w:t xml:space="preserve">5. Submitting a Request or Acknowledging a Policy (2.0 and later)</w:t>
      </w:r>
    </w:p>
    <w:p>
      <w:pPr>
        <w:spacing w:after="120"/>
      </w:pPr>
      <w:r>
        <w:rPr>
          <w:sz w:val="21"/>
          <w:szCs w:val="21"/>
        </w:rPr>
        <w:t xml:space="preserve">Starting with PolicyHub 2.0, policy pages may show a Request Exception button or an Acknowledgment Required badge.</w:t>
      </w:r>
    </w:p>
    <w:p>
      <w:pPr>
        <w:pStyle w:val="ListParagraph"/>
        <w:numPr>
          <w:ilvl w:val="0"/>
          <w:numId w:val="1"/>
        </w:numPr>
        <w:spacing w:after="60"/>
      </w:pPr>
      <w:r>
        <w:rPr>
          <w:sz w:val="21"/>
          <w:szCs w:val="21"/>
        </w:rPr>
        <w:t xml:space="preserve">Request Exception opens a short form routed to your HR Business Partner; track status on My Requests.</w:t>
      </w:r>
    </w:p>
    <w:p>
      <w:pPr>
        <w:pStyle w:val="ListParagraph"/>
        <w:numPr>
          <w:ilvl w:val="0"/>
          <w:numId w:val="1"/>
        </w:numPr>
        <w:spacing w:after="60"/>
      </w:pPr>
      <w:r>
        <w:rPr>
          <w:sz w:val="21"/>
          <w:szCs w:val="21"/>
        </w:rPr>
        <w:t xml:space="preserve">Sign &amp; Acknowledge is required for flagged policies within the deadline shown on your dashboard.</w:t>
      </w:r>
    </w:p>
    <w:p>
      <w:pPr>
        <w:spacing w:after="80"/>
      </w:pPr>
    </w:p>
    <w:p>
      <w:pPr>
        <w:pStyle w:val="Heading1"/>
        <w:spacing w:after="140" w:before="280"/>
      </w:pPr>
      <w:r>
        <w:t xml:space="preserve">6. Using the AI Policy Assistant (3.0 and later)</w:t>
      </w:r>
    </w:p>
    <w:p>
      <w:pPr>
        <w:spacing w:after="120"/>
      </w:pPr>
      <w:r>
        <w:rPr>
          <w:sz w:val="21"/>
          <w:szCs w:val="21"/>
        </w:rPr>
        <w:t xml:space="preserve">Starting with PolicyHub 3.0, a chat-style AI Policy Assistant is available on every page to answer plain-language questions, citing the source policy for every answer. It is a convenience tool; the linked policy remains authoritative.</w:t>
      </w:r>
    </w:p>
    <w:p>
      <w:pPr>
        <w:spacing w:after="80"/>
      </w:pPr>
    </w:p>
    <w:p>
      <w:pPr>
        <w:pStyle w:val="Heading1"/>
        <w:spacing w:after="140" w:before="280"/>
      </w:pPr>
      <w:r>
        <w:t xml:space="preserve">7. Getting Help</w:t>
      </w:r>
    </w:p>
    <w:p>
      <w:pPr>
        <w:spacing w:after="120"/>
      </w:pPr>
      <w:r>
        <w:rPr>
          <w:sz w:val="21"/>
          <w:szCs w:val="21"/>
        </w:rPr>
        <w:t xml:space="preserve">Content questions go to your HR Business Partner. Technical or access issues with the platform itself go to the HR Service Desk.</w:t>
      </w:r>
    </w:p>
    <w:p>
      <w:pPr>
        <w:spacing w:after="80"/>
      </w:pPr>
    </w:p>
    <w:p>
      <w:pPr>
        <w:pStyle w:val="Heading1"/>
        <w:spacing w:after="140" w:before="280"/>
      </w:pPr>
      <w:r>
        <w:t xml:space="preserve">8. Warnings &amp; Constraints</w:t>
      </w:r>
    </w:p>
    <w:tbl>
      <w:tblPr>
        <w:tblW w:type="dxa" w:w="10800"/>
        <w:tblBorders>
          <w:top w:val="single" w:color="E8A33D" w:sz="4"/>
          <w:left w:val="single" w:color="E8A33D" w:sz="4"/>
          <w:bottom w:val="single" w:color="E8A33D" w:sz="4"/>
          <w:right w:val="single" w:color="E8A33D" w:sz="4"/>
          <w:insideH w:val="single" w:color="auto" w:sz="4"/>
          <w:insideV w:val="single" w:color="auto" w:sz="4"/>
        </w:tblBorders>
      </w:tblPr>
      <w:tblGrid>
        <w:gridCol w:w="10800"/>
      </w:tblGrid>
      <w:tr>
        <w:tc>
          <w:tcPr>
            <w:shd w:fill="FDF3E7" w:val="clear"/>
            <w:tcMar>
              <w:top w:type="dxa" w:w="120"/>
              <w:left w:type="dxa" w:w="160"/>
              <w:bottom w:type="dxa" w:w="120"/>
              <w:right w:type="dxa" w:w="160"/>
            </w:tcMar>
          </w:tcPr>
          <w:p>
            <w:pPr>
              <w:spacing w:after="80"/>
            </w:pPr>
            <w:r>
              <w:rPr>
                <w:b/>
                <w:bCs/>
                <w:color w:val="B45309"/>
                <w:sz w:val="21"/>
                <w:szCs w:val="21"/>
              </w:rPr>
              <w:t xml:space="preserve">⚠ Important Notices</w:t>
            </w:r>
          </w:p>
          <w:p>
            <w:pPr>
              <w:spacing w:after="40"/>
            </w:pPr>
            <w:r>
              <w:rPr>
                <w:color w:val="5A3B12"/>
                <w:sz w:val="20"/>
                <w:szCs w:val="20"/>
              </w:rPr>
              <w:t xml:space="preserve">• Downloaded PDF copies are static and are not automatically updated when a policy changes; always check the live PolicyHub page before relying on an older download.</w:t>
            </w:r>
          </w:p>
          <w:p>
            <w:pPr>
              <w:spacing w:after="40"/>
            </w:pPr>
            <w:r>
              <w:rPr>
                <w:color w:val="5A3B12"/>
                <w:sz w:val="20"/>
                <w:szCs w:val="20"/>
              </w:rPr>
              <w:t xml:space="preserve">• E-signed acknowledgments are binding HR records; never sign on behalf of another employee.</w:t>
            </w:r>
          </w:p>
          <w:p>
            <w:pPr>
              <w:spacing w:after="40"/>
            </w:pPr>
            <w:r>
              <w:rPr>
                <w:color w:val="5A3B12"/>
                <w:sz w:val="20"/>
                <w:szCs w:val="20"/>
              </w:rPr>
              <w:t xml:space="preserve">• The AI Policy Assistant (3.0+) can occasionally summarize policy text imprecisely; confirm against the linked source policy for formal decisions.</w:t>
            </w:r>
          </w:p>
        </w:tc>
      </w:tr>
    </w:tbl>
    <w:p>
      <w:pPr>
        <w:spacing w:after="120"/>
      </w:pPr>
    </w:p>
    <w:p>
      <w:pPr>
        <w:pStyle w:val="Heading1"/>
        <w:spacing w:after="140" w:before="280"/>
      </w:pPr>
      <w:r>
        <w:t xml:space="preserve">9. References</w:t>
      </w:r>
    </w:p>
    <w:p>
      <w:pPr>
        <w:pStyle w:val="ListParagraph"/>
        <w:numPr>
          <w:ilvl w:val="0"/>
          <w:numId w:val="1"/>
        </w:numPr>
        <w:spacing w:after="60"/>
      </w:pPr>
      <w:r>
        <w:rPr>
          <w:sz w:val="21"/>
          <w:szCs w:val="21"/>
        </w:rPr>
        <w:t xml:space="preserve">HR Service Desk — access and technical support ticket queue.</w:t>
      </w:r>
    </w:p>
    <w:p>
      <w:pPr>
        <w:pStyle w:val="ListParagraph"/>
        <w:numPr>
          <w:ilvl w:val="0"/>
          <w:numId w:val="1"/>
        </w:numPr>
        <w:spacing w:after="60"/>
      </w:pPr>
      <w:r>
        <w:rPr>
          <w:sz w:val="21"/>
          <w:szCs w:val="21"/>
        </w:rPr>
        <w:t xml:space="preserve">PolicyHub FAQ (version matching your current portal release).</w:t>
      </w:r>
    </w:p>
    <w:p>
      <w:pPr>
        <w:pStyle w:val="Heading1"/>
        <w:spacing w:after="140" w:before="280"/>
      </w:pPr>
      <w:r>
        <w:t xml:space="preserve">10. Related Documents</w:t>
      </w:r>
    </w:p>
    <w:p>
      <w:pPr>
        <w:pStyle w:val="ListParagraph"/>
        <w:numPr>
          <w:ilvl w:val="0"/>
          <w:numId w:val="1"/>
        </w:numPr>
        <w:spacing w:after="60"/>
      </w:pPr>
      <w:r>
        <w:rPr>
          <w:sz w:val="21"/>
          <w:szCs w:val="21"/>
        </w:rPr>
        <w:t xml:space="preserve">XYZ_PolicyHub_FAQ_v1.0.docx</w:t>
      </w:r>
    </w:p>
    <w:p>
      <w:pPr>
        <w:pStyle w:val="ListParagraph"/>
        <w:numPr>
          <w:ilvl w:val="0"/>
          <w:numId w:val="1"/>
        </w:numPr>
        <w:spacing w:after="60"/>
      </w:pPr>
      <w:r>
        <w:rPr>
          <w:sz w:val="21"/>
          <w:szCs w:val="21"/>
        </w:rPr>
        <w:t xml:space="preserve">XYZ_PolicyHub_FAQ_v2.0.docx</w:t>
      </w:r>
    </w:p>
    <w:p>
      <w:pPr>
        <w:pStyle w:val="ListParagraph"/>
        <w:numPr>
          <w:ilvl w:val="0"/>
          <w:numId w:val="1"/>
        </w:numPr>
        <w:spacing w:after="60"/>
      </w:pPr>
      <w:r>
        <w:rPr>
          <w:sz w:val="21"/>
          <w:szCs w:val="21"/>
        </w:rPr>
        <w:t xml:space="preserve">XYZ_PolicyHub_FAQ_v3.0.docx</w:t>
      </w:r>
    </w:p>
    <w:p>
      <w:pPr>
        <w:pStyle w:val="ListParagraph"/>
        <w:numPr>
          <w:ilvl w:val="0"/>
          <w:numId w:val="1"/>
        </w:numPr>
        <w:spacing w:after="60"/>
      </w:pPr>
      <w:r>
        <w:rPr>
          <w:sz w:val="21"/>
          <w:szCs w:val="21"/>
        </w:rPr>
        <w:t xml:space="preserve">XYZ_PolicyHub_SOP_PublicationApproval_v1.0.docx</w:t>
      </w:r>
    </w:p>
    <w:p>
      <w:pPr>
        <w:pStyle w:val="ListParagraph"/>
        <w:numPr>
          <w:ilvl w:val="0"/>
          <w:numId w:val="1"/>
        </w:numPr>
        <w:spacing w:after="60"/>
      </w:pPr>
      <w:r>
        <w:rPr>
          <w:sz w:val="21"/>
          <w:szCs w:val="21"/>
        </w:rPr>
        <w:t xml:space="preserve">XYZ_PolicyHub_JobAid_QuickReference_v1.0.docx</w:t>
      </w:r>
    </w:p>
    <w:p>
      <w:pPr>
        <w:pStyle w:val="Heading1"/>
        <w:spacing w:after="140" w:before="280"/>
      </w:pPr>
      <w:r>
        <w:t xml:space="preserve">11. Revision History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600"/>
        <w:gridCol w:w="6000"/>
      </w:tblGrid>
      <w:tr>
        <w:trPr>
          <w:tblHeader/>
        </w:trPr>
        <w:tc>
          <w:tcPr>
            <w:tcW w:type="dxa" w:w="1400"/>
            <w:shd w:fill="2E5395" w:val="clear"/>
            <w:tcMar>
              <w:top w:type="dxa" w:w="60"/>
              <w:left w:type="dxa" w:w="80"/>
              <w:bottom w:type="dxa" w:w="60"/>
              <w:right w:type="dxa" w:w="80"/>
            </w:tcMar>
          </w:tcPr>
          <w:p>
            <w:r>
              <w:rPr>
                <w:b/>
                <w:bCs/>
                <w:color w:val="FFFFFF"/>
                <w:sz w:val="19"/>
                <w:szCs w:val="19"/>
              </w:rPr>
              <w:t xml:space="preserve">Version</w:t>
            </w:r>
          </w:p>
        </w:tc>
        <w:tc>
          <w:tcPr>
            <w:tcW w:type="dxa" w:w="1800"/>
            <w:shd w:fill="2E5395" w:val="clear"/>
            <w:tcMar>
              <w:top w:type="dxa" w:w="60"/>
              <w:left w:type="dxa" w:w="80"/>
              <w:bottom w:type="dxa" w:w="60"/>
              <w:right w:type="dxa" w:w="80"/>
            </w:tcMar>
          </w:tcPr>
          <w:p>
            <w:r>
              <w:rPr>
                <w:b/>
                <w:bCs/>
                <w:color w:val="FFFFFF"/>
                <w:sz w:val="19"/>
                <w:szCs w:val="19"/>
              </w:rPr>
              <w:t xml:space="preserve">Date</w:t>
            </w:r>
          </w:p>
        </w:tc>
        <w:tc>
          <w:tcPr>
            <w:tcW w:type="dxa" w:w="2600"/>
            <w:shd w:fill="2E5395" w:val="clear"/>
            <w:tcMar>
              <w:top w:type="dxa" w:w="60"/>
              <w:left w:type="dxa" w:w="80"/>
              <w:bottom w:type="dxa" w:w="60"/>
              <w:right w:type="dxa" w:w="80"/>
            </w:tcMar>
          </w:tcPr>
          <w:p>
            <w:r>
              <w:rPr>
                <w:b/>
                <w:bCs/>
                <w:color w:val="FFFFFF"/>
                <w:sz w:val="19"/>
                <w:szCs w:val="19"/>
              </w:rPr>
              <w:t xml:space="preserve">Author</w:t>
            </w:r>
          </w:p>
        </w:tc>
        <w:tc>
          <w:tcPr>
            <w:tcW w:type="dxa" w:w="6000"/>
            <w:shd w:fill="2E5395" w:val="clear"/>
            <w:tcMar>
              <w:top w:type="dxa" w:w="60"/>
              <w:left w:type="dxa" w:w="80"/>
              <w:bottom w:type="dxa" w:w="60"/>
              <w:right w:type="dxa" w:w="80"/>
            </w:tcMar>
          </w:tcPr>
          <w:p>
            <w:r>
              <w:rPr>
                <w:b/>
                <w:bCs/>
                <w:color w:val="FFFFFF"/>
                <w:sz w:val="19"/>
                <w:szCs w:val="19"/>
              </w:rPr>
              <w:t xml:space="preserve">Summary of Changes</w:t>
            </w:r>
          </w:p>
        </w:tc>
      </w:tr>
      <w:tr>
        <w:tc>
          <w:tcPr>
            <w:tcW w:type="dxa" w:w="1400"/>
            <w:tcMar>
              <w:top w:type="dxa" w:w="60"/>
              <w:left w:type="dxa" w:w="80"/>
              <w:bottom w:type="dxa" w:w="60"/>
              <w:right w:type="dxa" w:w="80"/>
            </w:tcMar>
          </w:tcPr>
          <w:p>
            <w:r>
              <w:rPr>
                <w:sz w:val="19"/>
                <w:szCs w:val="19"/>
              </w:rPr>
              <w:t xml:space="preserve">1.0</w:t>
            </w:r>
          </w:p>
        </w:tc>
        <w:tc>
          <w:tcPr>
            <w:tcW w:type="dxa" w:w="1800"/>
            <w:tcMar>
              <w:top w:type="dxa" w:w="60"/>
              <w:left w:type="dxa" w:w="80"/>
              <w:bottom w:type="dxa" w:w="60"/>
              <w:right w:type="dxa" w:w="80"/>
            </w:tcMar>
          </w:tcPr>
          <w:p>
            <w:r>
              <w:rPr>
                <w:sz w:val="19"/>
                <w:szCs w:val="19"/>
              </w:rPr>
              <w:t xml:space="preserve">2024-01-12</w:t>
            </w:r>
          </w:p>
        </w:tc>
        <w:tc>
          <w:tcPr>
            <w:tcW w:type="dxa" w:w="2600"/>
            <w:tcMar>
              <w:top w:type="dxa" w:w="60"/>
              <w:left w:type="dxa" w:w="80"/>
              <w:bottom w:type="dxa" w:w="60"/>
              <w:right w:type="dxa" w:w="80"/>
            </w:tcMar>
          </w:tcPr>
          <w:p>
            <w:r>
              <w:rPr>
                <w:sz w:val="19"/>
                <w:szCs w:val="19"/>
              </w:rPr>
              <w:t xml:space="preserve">S. Nakamura</w:t>
            </w:r>
          </w:p>
        </w:tc>
        <w:tc>
          <w:tcPr>
            <w:tcW w:type="dxa" w:w="6000"/>
            <w:tcMar>
              <w:top w:type="dxa" w:w="60"/>
              <w:left w:type="dxa" w:w="80"/>
              <w:bottom w:type="dxa" w:w="60"/>
              <w:right w:type="dxa" w:w="80"/>
            </w:tcMar>
          </w:tcPr>
          <w:p>
            <w:r>
              <w:rPr>
                <w:sz w:val="19"/>
                <w:szCs w:val="19"/>
              </w:rPr>
              <w:t xml:space="preserve">Initial user guide covering browsing, search, and download for PolicyHub 1.0, with later sections noting 2.0/3.0 additions.</w:t>
            </w:r>
          </w:p>
        </w:tc>
      </w:tr>
    </w:tbl>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5"/>
        <w:szCs w:val="15"/>
      </w:rPr>
      <w:t xml:space="preserve">XYZ Corporation — Confidential Internal Documentation  |  Page </w:t>
    </w:r>
    <w:r>
      <w:rPr>
        <w:color w:val="595959"/>
        <w:sz w:val="15"/>
        <w:szCs w:val="15"/>
      </w:rPr>
      <w:fldChar w:fldCharType="begin"/>
      <w:instrText xml:space="preserve">PAGE</w:instrText>
      <w:fldChar w:fldCharType="separate"/>
      <w:fldChar w:fldCharType="end"/>
    </w:r>
    <w:r>
      <w:rPr>
        <w:color w:val="595959"/>
        <w:sz w:val="15"/>
        <w:szCs w:val="15"/>
      </w:rPr>
      <w:t xml:space="preserve"> of </w:t>
    </w:r>
    <w:r>
      <w:rPr>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5"/>
        <w:szCs w:val="15"/>
      </w:rPr>
      <w:t xml:space="preserve">XYZ-PH-UG-1.0  |  PolicyHub User Guide — HR Policy Document Services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240"/>
    </w:pPr>
    <w:rPr>
      <w:rFonts w:ascii="Calibri" w:cs="Calibri" w:eastAsia="Calibri" w:hAnsi="Calibri"/>
      <w:b/>
      <w:bCs/>
      <w:color w:val="1F3864"/>
      <w:sz w:val="27"/>
      <w:szCs w:val="27"/>
    </w:rPr>
  </w:style>
  <w:style w:type="paragraph" w:styleId="Heading2">
    <w:name w:val="Heading 2"/>
    <w:basedOn w:val="Normal"/>
    <w:next w:val="Normal"/>
    <w:qFormat/>
    <w:pPr>
      <w:spacing w:after="90" w:before="160"/>
    </w:pPr>
    <w:rPr>
      <w:rFonts w:ascii="Calibri" w:cs="Calibri" w:eastAsia="Calibri" w:hAnsi="Calibri"/>
      <w:b/>
      <w:bCs/>
      <w:color w:val="2E5395"/>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2026-07-23T05:00:36.399Z</dcterms:created>
  <dcterms:modified xsi:type="dcterms:W3CDTF">2026-07-23T05:00:36.399Z</dcterms:modified>
</cp:coreProperties>
</file>

<file path=docProps/custom.xml><?xml version="1.0" encoding="utf-8"?>
<Properties xmlns="http://schemas.openxmlformats.org/officeDocument/2006/custom-properties" xmlns:vt="http://schemas.openxmlformats.org/officeDocument/2006/docPropsVTypes"/>
</file>