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20"/>
          <w:szCs w:val="20"/>
        </w:rPr>
        <w:t xml:space="preserve">XYZ CORPORATION</w:t>
      </w:r>
    </w:p>
    <w:p>
      <w:pPr>
        <w:spacing w:after="40"/>
      </w:pPr>
      <w:r>
        <w:rPr>
          <w:b/>
          <w:bCs/>
          <w:color w:val="1F3864"/>
          <w:sz w:val="40"/>
          <w:szCs w:val="40"/>
        </w:rPr>
        <w:t xml:space="preserve">SOP: Video Rendering &amp; Export — StreamCut Pro</w:t>
      </w:r>
    </w:p>
    <w:p>
      <w:pPr>
        <w:spacing w:after="200"/>
      </w:pPr>
      <w:r>
        <w:rPr>
          <w:i/>
          <w:iCs/>
          <w:color w:val="595959"/>
          <w:sz w:val="22"/>
          <w:szCs w:val="22"/>
        </w:rPr>
        <w:t xml:space="preserve">Standard Operating Procedure · Version 3.0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3720"/>
        <w:gridCol w:w="2400"/>
        <w:gridCol w:w="3720"/>
      </w:tblGrid>
      <w:tr>
        <w:tc>
          <w:tcPr>
            <w:tcW w:type="dxa" w:w="2400"/>
            <w:shd w:fill="1F3864" w:val="clear"/>
            <w:tcMar>
              <w:top w:type="dxa" w:w="60"/>
              <w:left w:type="dxa" w:w="100"/>
              <w:bottom w:type="dxa" w:w="60"/>
              <w:right w:type="dxa" w:w="100"/>
            </w:tcMar>
          </w:tcPr>
          <w:p>
            <w:r>
              <w:rPr>
                <w:b/>
                <w:bCs/>
                <w:color w:val="FFFFFF"/>
                <w:sz w:val="18"/>
                <w:szCs w:val="18"/>
              </w:rPr>
              <w:t xml:space="preserve">Document ID</w:t>
            </w:r>
          </w:p>
        </w:tc>
        <w:tc>
          <w:tcPr>
            <w:tcW w:type="dxa" w:w="3720"/>
            <w:shd w:fill="FFFFFF" w:val="clear"/>
            <w:tcMar>
              <w:top w:type="dxa" w:w="60"/>
              <w:left w:type="dxa" w:w="100"/>
              <w:bottom w:type="dxa" w:w="60"/>
              <w:right w:type="dxa" w:w="100"/>
            </w:tcMar>
          </w:tcPr>
          <w:p>
            <w:r>
              <w:rPr>
                <w:sz w:val="18"/>
                <w:szCs w:val="18"/>
              </w:rPr>
              <w:t xml:space="preserve">XYZ-SCP-SOP-3.0</w:t>
            </w:r>
          </w:p>
        </w:tc>
        <w:tc>
          <w:tcPr>
            <w:tcW w:type="dxa" w:w="2400"/>
            <w:shd w:fill="1F3864" w:val="clear"/>
            <w:tcMar>
              <w:top w:type="dxa" w:w="60"/>
              <w:left w:type="dxa" w:w="100"/>
              <w:bottom w:type="dxa" w:w="60"/>
              <w:right w:type="dxa" w:w="100"/>
            </w:tcMar>
          </w:tcPr>
          <w:p>
            <w:r>
              <w:rPr>
                <w:b/>
                <w:bCs/>
                <w:color w:val="FFFFFF"/>
                <w:sz w:val="18"/>
                <w:szCs w:val="18"/>
              </w:rPr>
              <w:t xml:space="preserve">Version</w:t>
            </w:r>
          </w:p>
        </w:tc>
        <w:tc>
          <w:tcPr>
            <w:tcW w:type="dxa" w:w="3720"/>
            <w:shd w:fill="FFFFFF" w:val="clear"/>
            <w:tcMar>
              <w:top w:type="dxa" w:w="60"/>
              <w:left w:type="dxa" w:w="100"/>
              <w:bottom w:type="dxa" w:w="60"/>
              <w:right w:type="dxa" w:w="100"/>
            </w:tcMar>
          </w:tcPr>
          <w:p>
            <w:r>
              <w:rPr>
                <w:sz w:val="18"/>
                <w:szCs w:val="18"/>
              </w:rPr>
              <w:t xml:space="preserve">3.0</w:t>
            </w:r>
          </w:p>
        </w:tc>
      </w:tr>
      <w:tr>
        <w:tc>
          <w:tcPr>
            <w:tcW w:type="dxa" w:w="2400"/>
            <w:shd w:fill="1F3864" w:val="clear"/>
            <w:tcMar>
              <w:top w:type="dxa" w:w="60"/>
              <w:left w:type="dxa" w:w="100"/>
              <w:bottom w:type="dxa" w:w="60"/>
              <w:right w:type="dxa" w:w="100"/>
            </w:tcMar>
          </w:tcPr>
          <w:p>
            <w:r>
              <w:rPr>
                <w:b/>
                <w:bCs/>
                <w:color w:val="FFFFFF"/>
                <w:sz w:val="18"/>
                <w:szCs w:val="18"/>
              </w:rPr>
              <w:t xml:space="preserve">Document Type</w:t>
            </w:r>
          </w:p>
        </w:tc>
        <w:tc>
          <w:tcPr>
            <w:tcW w:type="dxa" w:w="3720"/>
            <w:shd w:fill="FFFFFF" w:val="clear"/>
            <w:tcMar>
              <w:top w:type="dxa" w:w="60"/>
              <w:left w:type="dxa" w:w="100"/>
              <w:bottom w:type="dxa" w:w="60"/>
              <w:right w:type="dxa" w:w="100"/>
            </w:tcMar>
          </w:tcPr>
          <w:p>
            <w:r>
              <w:rPr>
                <w:sz w:val="18"/>
                <w:szCs w:val="18"/>
              </w:rPr>
              <w:t xml:space="preserve">Standard Operating Procedure</w:t>
            </w:r>
          </w:p>
        </w:tc>
        <w:tc>
          <w:tcPr>
            <w:tcW w:type="dxa" w:w="2400"/>
            <w:shd w:fill="1F3864" w:val="clear"/>
            <w:tcMar>
              <w:top w:type="dxa" w:w="60"/>
              <w:left w:type="dxa" w:w="100"/>
              <w:bottom w:type="dxa" w:w="60"/>
              <w:right w:type="dxa" w:w="100"/>
            </w:tcMar>
          </w:tcPr>
          <w:p>
            <w:r>
              <w:rPr>
                <w:b/>
                <w:bCs/>
                <w:color w:val="FFFFFF"/>
                <w:sz w:val="18"/>
                <w:szCs w:val="18"/>
              </w:rPr>
              <w:t xml:space="preserve">Approval Status</w:t>
            </w:r>
          </w:p>
        </w:tc>
        <w:tc>
          <w:tcPr>
            <w:tcW w:type="dxa" w:w="3720"/>
            <w:shd w:fill="FFFFFF" w:val="clear"/>
            <w:tcMar>
              <w:top w:type="dxa" w:w="60"/>
              <w:left w:type="dxa" w:w="100"/>
              <w:bottom w:type="dxa" w:w="60"/>
              <w:right w:type="dxa" w:w="100"/>
            </w:tcMar>
          </w:tcPr>
          <w:p>
            <w:r>
              <w:rPr>
                <w:sz w:val="18"/>
                <w:szCs w:val="18"/>
              </w:rPr>
              <w:t xml:space="preserve">Approved</w:t>
            </w:r>
          </w:p>
        </w:tc>
      </w:tr>
      <w:tr>
        <w:tc>
          <w:tcPr>
            <w:tcW w:type="dxa" w:w="2400"/>
            <w:shd w:fill="1F3864" w:val="clear"/>
            <w:tcMar>
              <w:top w:type="dxa" w:w="60"/>
              <w:left w:type="dxa" w:w="100"/>
              <w:bottom w:type="dxa" w:w="60"/>
              <w:right w:type="dxa" w:w="100"/>
            </w:tcMar>
          </w:tcPr>
          <w:p>
            <w:r>
              <w:rPr>
                <w:b/>
                <w:bCs/>
                <w:color w:val="FFFFFF"/>
                <w:sz w:val="18"/>
                <w:szCs w:val="18"/>
              </w:rPr>
              <w:t xml:space="preserve">Owner</w:t>
            </w:r>
          </w:p>
        </w:tc>
        <w:tc>
          <w:tcPr>
            <w:tcW w:type="dxa" w:w="3720"/>
            <w:shd w:fill="FFFFFF" w:val="clear"/>
            <w:tcMar>
              <w:top w:type="dxa" w:w="60"/>
              <w:left w:type="dxa" w:w="100"/>
              <w:bottom w:type="dxa" w:w="60"/>
              <w:right w:type="dxa" w:w="100"/>
            </w:tcMar>
          </w:tcPr>
          <w:p>
            <w:r>
              <w:rPr>
                <w:sz w:val="18"/>
                <w:szCs w:val="18"/>
              </w:rPr>
              <w:t xml:space="preserve">R. Cho, Post-Production Operations Manager</w:t>
            </w:r>
          </w:p>
        </w:tc>
        <w:tc>
          <w:tcPr>
            <w:tcW w:type="dxa" w:w="2400"/>
            <w:shd w:fill="1F3864" w:val="clear"/>
            <w:tcMar>
              <w:top w:type="dxa" w:w="60"/>
              <w:left w:type="dxa" w:w="100"/>
              <w:bottom w:type="dxa" w:w="60"/>
              <w:right w:type="dxa" w:w="100"/>
            </w:tcMar>
          </w:tcPr>
          <w:p>
            <w:r>
              <w:rPr>
                <w:b/>
                <w:bCs/>
                <w:color w:val="FFFFFF"/>
                <w:sz w:val="18"/>
                <w:szCs w:val="18"/>
              </w:rPr>
              <w:t xml:space="preserve">Department</w:t>
            </w:r>
          </w:p>
        </w:tc>
        <w:tc>
          <w:tcPr>
            <w:tcW w:type="dxa" w:w="3720"/>
            <w:shd w:fill="FFFFFF" w:val="clear"/>
            <w:tcMar>
              <w:top w:type="dxa" w:w="60"/>
              <w:left w:type="dxa" w:w="100"/>
              <w:bottom w:type="dxa" w:w="60"/>
              <w:right w:type="dxa" w:w="100"/>
            </w:tcMar>
          </w:tcPr>
          <w:p>
            <w:r>
              <w:rPr>
                <w:sz w:val="18"/>
                <w:szCs w:val="18"/>
              </w:rPr>
              <w:t xml:space="preserve">Media Operations</w:t>
            </w:r>
          </w:p>
        </w:tc>
      </w:tr>
      <w:tr>
        <w:tc>
          <w:tcPr>
            <w:tcW w:type="dxa" w:w="2400"/>
            <w:shd w:fill="1F3864" w:val="clear"/>
            <w:tcMar>
              <w:top w:type="dxa" w:w="60"/>
              <w:left w:type="dxa" w:w="100"/>
              <w:bottom w:type="dxa" w:w="60"/>
              <w:right w:type="dxa" w:w="100"/>
            </w:tcMar>
          </w:tcPr>
          <w:p>
            <w:r>
              <w:rPr>
                <w:b/>
                <w:bCs/>
                <w:color w:val="FFFFFF"/>
                <w:sz w:val="18"/>
                <w:szCs w:val="18"/>
              </w:rPr>
              <w:t xml:space="preserve">Audience</w:t>
            </w:r>
          </w:p>
        </w:tc>
        <w:tc>
          <w:tcPr>
            <w:tcW w:type="dxa" w:w="3720"/>
            <w:shd w:fill="FFFFFF" w:val="clear"/>
            <w:tcMar>
              <w:top w:type="dxa" w:w="60"/>
              <w:left w:type="dxa" w:w="100"/>
              <w:bottom w:type="dxa" w:w="60"/>
              <w:right w:type="dxa" w:w="100"/>
            </w:tcMar>
          </w:tcPr>
          <w:p>
            <w:r>
              <w:rPr>
                <w:sz w:val="18"/>
                <w:szCs w:val="18"/>
              </w:rPr>
              <w:t xml:space="preserve">Support Engineer</w:t>
            </w:r>
          </w:p>
        </w:tc>
        <w:tc>
          <w:tcPr>
            <w:tcW w:type="dxa" w:w="2400"/>
            <w:shd w:fill="1F3864" w:val="clear"/>
            <w:tcMar>
              <w:top w:type="dxa" w:w="60"/>
              <w:left w:type="dxa" w:w="100"/>
              <w:bottom w:type="dxa" w:w="60"/>
              <w:right w:type="dxa" w:w="100"/>
            </w:tcMar>
          </w:tcPr>
          <w:p>
            <w:r>
              <w:rPr>
                <w:b/>
                <w:bCs/>
                <w:color w:val="FFFFFF"/>
                <w:sz w:val="18"/>
                <w:szCs w:val="18"/>
              </w:rPr>
              <w:t xml:space="preserve">Compliance Classification</w:t>
            </w:r>
          </w:p>
        </w:tc>
        <w:tc>
          <w:tcPr>
            <w:tcW w:type="dxa" w:w="3720"/>
            <w:shd w:fill="FFFFFF" w:val="clear"/>
            <w:tcMar>
              <w:top w:type="dxa" w:w="60"/>
              <w:left w:type="dxa" w:w="100"/>
              <w:bottom w:type="dxa" w:w="60"/>
              <w:right w:type="dxa" w:w="100"/>
            </w:tcMar>
          </w:tcPr>
          <w:p>
            <w:r>
              <w:rPr>
                <w:sz w:val="18"/>
                <w:szCs w:val="18"/>
              </w:rPr>
              <w:t xml:space="preserve">Confidential — Client Deliverables</w:t>
            </w:r>
          </w:p>
        </w:tc>
      </w:tr>
      <w:tr>
        <w:tc>
          <w:tcPr>
            <w:tcW w:type="dxa" w:w="2400"/>
            <w:shd w:fill="1F3864" w:val="clear"/>
            <w:tcMar>
              <w:top w:type="dxa" w:w="60"/>
              <w:left w:type="dxa" w:w="100"/>
              <w:bottom w:type="dxa" w:w="60"/>
              <w:right w:type="dxa" w:w="100"/>
            </w:tcMar>
          </w:tcPr>
          <w:p>
            <w:r>
              <w:rPr>
                <w:b/>
                <w:bCs/>
                <w:color w:val="FFFFFF"/>
                <w:sz w:val="18"/>
                <w:szCs w:val="18"/>
              </w:rPr>
              <w:t xml:space="preserve">Last Updated</w:t>
            </w:r>
          </w:p>
        </w:tc>
        <w:tc>
          <w:tcPr>
            <w:tcW w:type="dxa" w:w="3720"/>
            <w:shd w:fill="FFFFFF" w:val="clear"/>
            <w:tcMar>
              <w:top w:type="dxa" w:w="60"/>
              <w:left w:type="dxa" w:w="100"/>
              <w:bottom w:type="dxa" w:w="60"/>
              <w:right w:type="dxa" w:w="100"/>
            </w:tcMar>
          </w:tcPr>
          <w:p>
            <w:r>
              <w:rPr>
                <w:sz w:val="18"/>
                <w:szCs w:val="18"/>
              </w:rPr>
              <w:t xml:space="preserve">June 10, 2025</w:t>
            </w:r>
          </w:p>
        </w:tc>
        <w:tc>
          <w:tcPr>
            <w:tcW w:type="dxa" w:w="2400"/>
            <w:shd w:fill="1F3864" w:val="clear"/>
            <w:tcMar>
              <w:top w:type="dxa" w:w="60"/>
              <w:left w:type="dxa" w:w="100"/>
              <w:bottom w:type="dxa" w:w="60"/>
              <w:right w:type="dxa" w:w="100"/>
            </w:tcMar>
          </w:tcPr>
          <w:p>
            <w:r>
              <w:rPr>
                <w:b/>
                <w:bCs/>
                <w:color w:val="FFFFFF"/>
                <w:sz w:val="18"/>
                <w:szCs w:val="18"/>
              </w:rPr>
              <w:t xml:space="preserve">Applies To</w:t>
            </w:r>
          </w:p>
        </w:tc>
        <w:tc>
          <w:tcPr>
            <w:tcW w:type="dxa" w:w="3720"/>
            <w:shd w:fill="FFFFFF" w:val="clear"/>
            <w:tcMar>
              <w:top w:type="dxa" w:w="60"/>
              <w:left w:type="dxa" w:w="100"/>
              <w:bottom w:type="dxa" w:w="60"/>
              <w:right w:type="dxa" w:w="100"/>
            </w:tcMar>
          </w:tcPr>
          <w:p>
            <w:r>
              <w:rPr>
                <w:sz w:val="18"/>
                <w:szCs w:val="18"/>
              </w:rPr>
              <w:t xml:space="preserve">StreamCut Pro Desktop &amp; Cloud 3.0.x — all editors and QC staff</w:t>
            </w:r>
          </w:p>
        </w:tc>
      </w:tr>
      <w:tr>
        <w:tc>
          <w:tcPr>
            <w:tcW w:type="dxa" w:w="2400"/>
            <w:shd w:fill="1F3864" w:val="clear"/>
            <w:tcMar>
              <w:top w:type="dxa" w:w="60"/>
              <w:left w:type="dxa" w:w="100"/>
              <w:bottom w:type="dxa" w:w="60"/>
              <w:right w:type="dxa" w:w="100"/>
            </w:tcMar>
          </w:tcPr>
          <w:p>
            <w:r>
              <w:rPr>
                <w:b/>
                <w:bCs/>
                <w:color w:val="FFFFFF"/>
                <w:sz w:val="18"/>
                <w:szCs w:val="18"/>
              </w:rPr>
              <w:t xml:space="preserve">Taxonomy Tags</w:t>
            </w:r>
          </w:p>
        </w:tc>
        <w:tc>
          <w:tcPr>
            <w:tcW w:type="dxa" w:w="3720"/>
            <w:shd w:fill="FFFFFF" w:val="clear"/>
            <w:tcMar>
              <w:top w:type="dxa" w:w="60"/>
              <w:left w:type="dxa" w:w="100"/>
              <w:bottom w:type="dxa" w:w="60"/>
              <w:right w:type="dxa" w:w="100"/>
            </w:tcMar>
          </w:tcPr>
          <w:p>
            <w:r>
              <w:rPr>
                <w:sz w:val="18"/>
                <w:szCs w:val="18"/>
              </w:rPr>
              <w:t xml:space="preserve">sop; cloud-render-farm; loudness-compliance; accessibility; drm; encryption</w:t>
            </w:r>
          </w:p>
        </w:tc>
        <w:tc>
          <w:tcPr>
            <w:tcW w:type="dxa" w:w="2400"/>
            <w:shd w:fill="1F3864" w:val="clear"/>
            <w:tcMar>
              <w:top w:type="dxa" w:w="60"/>
              <w:left w:type="dxa" w:w="100"/>
              <w:bottom w:type="dxa" w:w="60"/>
              <w:right w:type="dxa" w:w="100"/>
            </w:tcMar>
          </w:tcPr>
          <w:p>
            <w:r>
              <w:rPr>
                <w:b/>
                <w:bCs/>
                <w:color w:val="FFFFFF"/>
                <w:sz w:val="18"/>
                <w:szCs w:val="18"/>
              </w:rPr>
              <w:t xml:space="preserve">Keywords</w:t>
            </w:r>
          </w:p>
        </w:tc>
        <w:tc>
          <w:tcPr>
            <w:tcW w:type="dxa" w:w="3720"/>
            <w:shd w:fill="FFFFFF" w:val="clear"/>
            <w:tcMar>
              <w:top w:type="dxa" w:w="60"/>
              <w:left w:type="dxa" w:w="100"/>
              <w:bottom w:type="dxa" w:w="60"/>
              <w:right w:type="dxa" w:w="100"/>
            </w:tcMar>
          </w:tcPr>
          <w:p>
            <w:r>
              <w:rPr>
                <w:sz w:val="18"/>
                <w:szCs w:val="18"/>
              </w:rPr>
              <w:t xml:space="preserve">cloud render farm, LUFS loudness, closed captions, encryption, DRM tagging, compliance scan</w:t>
            </w:r>
          </w:p>
        </w:tc>
      </w:tr>
    </w:tbl>
    <w:p>
      <w:pPr>
        <w:spacing w:after="160"/>
      </w:pPr>
    </w:p>
    <w:p>
      <w:pPr>
        <w:pStyle w:val="Heading2"/>
        <w:spacing w:after="100" w:before="200"/>
      </w:pPr>
      <w:r>
        <w:t xml:space="preserve">Summary</w:t>
      </w:r>
    </w:p>
    <w:p>
      <w:pPr>
        <w:spacing w:after="120"/>
      </w:pPr>
      <w:r>
        <w:rPr>
          <w:sz w:val="21"/>
          <w:szCs w:val="21"/>
        </w:rPr>
        <w:t xml:space="preserve">This revision extends the SOP to cover StreamCut Pro 3.0's cloud render farm submission process, an automated compliance scan for audio loudness (LUFS) and caption accessibility, and mandatory encryption and DRM tagging for client deliverables. It supersedes v2.0 and reflects the product's shift toward cloud-based, higher-resolution, and more heavily regulated output.</w:t>
      </w:r>
    </w:p>
    <w:p>
      <w:pPr>
        <w:pStyle w:val="Heading2"/>
        <w:spacing w:after="100" w:before="200"/>
      </w:pPr>
      <w:r>
        <w:t xml:space="preserve">Table of Contents</w:t>
      </w:r>
    </w:p>
    <w:p>
      <w:pPr>
        <w:spacing w:after="70"/>
      </w:pPr>
      <w:r>
        <w:rPr>
          <w:sz w:val="21"/>
          <w:szCs w:val="21"/>
        </w:rPr>
        <w:t xml:space="preserve">1. Purpose and Scope</w:t>
      </w:r>
    </w:p>
    <w:p>
      <w:pPr>
        <w:spacing w:after="70"/>
      </w:pPr>
      <w:r>
        <w:rPr>
          <w:sz w:val="21"/>
          <w:szCs w:val="21"/>
        </w:rPr>
        <w:t xml:space="preserve">2. What Changed From Version 2.0</w:t>
      </w:r>
    </w:p>
    <w:p>
      <w:pPr>
        <w:spacing w:after="70"/>
      </w:pPr>
      <w:r>
        <w:rPr>
          <w:sz w:val="21"/>
          <w:szCs w:val="21"/>
        </w:rPr>
        <w:t xml:space="preserve">3. Cloud Render Farm Submission</w:t>
      </w:r>
    </w:p>
    <w:p>
      <w:pPr>
        <w:spacing w:after="70"/>
      </w:pPr>
      <w:r>
        <w:rPr>
          <w:sz w:val="21"/>
          <w:szCs w:val="21"/>
        </w:rPr>
        <w:t xml:space="preserve">4. Automated Compliance Scan</w:t>
      </w:r>
    </w:p>
    <w:p>
      <w:pPr>
        <w:spacing w:after="70"/>
      </w:pPr>
      <w:r>
        <w:rPr>
          <w:sz w:val="21"/>
          <w:szCs w:val="21"/>
        </w:rPr>
        <w:t xml:space="preserve">5. Client Deliverable Encryption and DRM Tagging</w:t>
      </w:r>
    </w:p>
    <w:p>
      <w:pPr>
        <w:spacing w:after="70"/>
      </w:pPr>
      <w:r>
        <w:rPr>
          <w:sz w:val="21"/>
          <w:szCs w:val="21"/>
        </w:rPr>
        <w:t xml:space="preserve">6. Review Watermarking (Extended from v2.0)</w:t>
      </w:r>
    </w:p>
    <w:p>
      <w:pPr>
        <w:spacing w:after="70"/>
      </w:pPr>
      <w:r>
        <w:rPr>
          <w:sz w:val="21"/>
          <w:szCs w:val="21"/>
        </w:rPr>
        <w:t xml:space="preserve">7. File Naming and Archival</w:t>
      </w:r>
    </w:p>
    <w:p>
      <w:pPr>
        <w:spacing w:after="70"/>
      </w:pPr>
      <w:r>
        <w:rPr>
          <w:sz w:val="21"/>
          <w:szCs w:val="21"/>
        </w:rPr>
        <w:t xml:space="preserve">8. Warnings &amp; Constraints</w:t>
      </w:r>
    </w:p>
    <w:p>
      <w:pPr>
        <w:spacing w:after="70"/>
      </w:pPr>
      <w:r>
        <w:rPr>
          <w:sz w:val="21"/>
          <w:szCs w:val="21"/>
        </w:rPr>
        <w:t xml:space="preserve">9. References</w:t>
      </w:r>
    </w:p>
    <w:p>
      <w:pPr>
        <w:spacing w:after="70"/>
      </w:pPr>
      <w:r>
        <w:rPr>
          <w:sz w:val="21"/>
          <w:szCs w:val="21"/>
        </w:rPr>
        <w:t xml:space="preserve">10. Related Documents</w:t>
      </w:r>
    </w:p>
    <w:p>
      <w:pPr>
        <w:spacing w:after="70"/>
      </w:pPr>
      <w:r>
        <w:rPr>
          <w:sz w:val="21"/>
          <w:szCs w:val="21"/>
        </w:rPr>
        <w:t xml:space="preserve">11. Revision History</w:t>
      </w:r>
    </w:p>
    <w:p>
      <w:r>
        <w:br w:type="page"/>
      </w:r>
    </w:p>
    <w:p>
      <w:pPr>
        <w:pStyle w:val="Heading1"/>
        <w:spacing w:after="140" w:before="280"/>
      </w:pPr>
      <w:r>
        <w:t xml:space="preserve">1. Purpose and Scope</w:t>
      </w:r>
    </w:p>
    <w:p>
      <w:pPr>
        <w:spacing w:after="120"/>
      </w:pPr>
      <w:r>
        <w:rPr>
          <w:sz w:val="21"/>
          <w:szCs w:val="21"/>
        </w:rPr>
        <w:t xml:space="preserve">This SOP governs rendering, compliance scanning, and secure delivery for StreamCut Pro 3.0 projects, including cloud render farm submission for 4K/8K output and new automated checks that did not exist in v2.0.</w:t>
      </w:r>
    </w:p>
    <w:p>
      <w:pPr>
        <w:spacing w:after="80"/>
      </w:pPr>
    </w:p>
    <w:p>
      <w:pPr>
        <w:pStyle w:val="Heading1"/>
        <w:spacing w:after="140" w:before="280"/>
      </w:pPr>
      <w:r>
        <w:t xml:space="preserve">2. What Changed From Version 2.0</w:t>
      </w:r>
    </w:p>
    <w:p>
      <w:pPr>
        <w:pStyle w:val="ListParagraph"/>
        <w:numPr>
          <w:ilvl w:val="0"/>
          <w:numId w:val="1"/>
        </w:numPr>
        <w:spacing w:after="60"/>
      </w:pPr>
      <w:r>
        <w:rPr>
          <w:sz w:val="21"/>
          <w:szCs w:val="21"/>
        </w:rPr>
        <w:t xml:space="preserve">Added: Cloud Render Farm submission procedure, replacing shared-node GPU rendering for 4K/8K work (Section 4).</w:t>
      </w:r>
    </w:p>
    <w:p>
      <w:pPr>
        <w:pStyle w:val="ListParagraph"/>
        <w:numPr>
          <w:ilvl w:val="0"/>
          <w:numId w:val="1"/>
        </w:numPr>
        <w:spacing w:after="60"/>
      </w:pPr>
      <w:r>
        <w:rPr>
          <w:sz w:val="21"/>
          <w:szCs w:val="21"/>
        </w:rPr>
        <w:t xml:space="preserve">Added: Automated Compliance Scan for loudness (LUFS) and caption accessibility (Section 5).</w:t>
      </w:r>
    </w:p>
    <w:p>
      <w:pPr>
        <w:pStyle w:val="ListParagraph"/>
        <w:numPr>
          <w:ilvl w:val="0"/>
          <w:numId w:val="1"/>
        </w:numPr>
        <w:spacing w:after="60"/>
      </w:pPr>
      <w:r>
        <w:rPr>
          <w:sz w:val="21"/>
          <w:szCs w:val="21"/>
        </w:rPr>
        <w:t xml:space="preserve">Added: Client deliverable encryption and DRM tagging requirement (Section 6).</w:t>
      </w:r>
    </w:p>
    <w:p>
      <w:pPr>
        <w:pStyle w:val="ListParagraph"/>
        <w:numPr>
          <w:ilvl w:val="0"/>
          <w:numId w:val="1"/>
        </w:numPr>
        <w:spacing w:after="60"/>
      </w:pPr>
      <w:r>
        <w:rPr>
          <w:sz w:val="21"/>
          <w:szCs w:val="21"/>
        </w:rPr>
        <w:t xml:space="preserve">Changed: watermarking procedure from v2.0 now applies to cloud-rendered review copies as well as local ones.</w:t>
      </w:r>
    </w:p>
    <w:p>
      <w:pPr>
        <w:pStyle w:val="ListParagraph"/>
        <w:numPr>
          <w:ilvl w:val="0"/>
          <w:numId w:val="1"/>
        </w:numPr>
        <w:spacing w:after="60"/>
      </w:pPr>
      <w:r>
        <w:rPr>
          <w:sz w:val="21"/>
          <w:szCs w:val="21"/>
        </w:rPr>
        <w:t xml:space="preserve">Unchanged: file naming convention remains as defined in v1.0/v2.0, with 8K added as a valid resolution tag.</w:t>
      </w:r>
    </w:p>
    <w:p>
      <w:pPr>
        <w:spacing w:after="80"/>
      </w:pPr>
    </w:p>
    <w:p>
      <w:pPr>
        <w:pStyle w:val="Heading1"/>
        <w:spacing w:after="140" w:before="280"/>
      </w:pPr>
      <w:r>
        <w:t xml:space="preserve">3. Cloud Render Farm Submission</w:t>
      </w:r>
    </w:p>
    <w:p>
      <w:pPr>
        <w:spacing w:after="120"/>
      </w:pPr>
      <w:r>
        <w:rPr>
          <w:sz w:val="21"/>
          <w:szCs w:val="21"/>
        </w:rPr>
        <w:t xml:space="preserve">4K and 8K renders are now submitted to the XYZ Cloud Render Farm rather than a local shared GPU node, drawing from a per-department render-credit quota.</w:t>
      </w:r>
    </w:p>
    <w:p>
      <w:pPr>
        <w:pStyle w:val="ListParagraph"/>
        <w:numPr>
          <w:ilvl w:val="0"/>
          <w:numId w:val="2"/>
        </w:numPr>
        <w:spacing w:after="60"/>
      </w:pPr>
      <w:r>
        <w:rPr>
          <w:sz w:val="21"/>
          <w:szCs w:val="21"/>
        </w:rPr>
        <w:t xml:space="preserve">Select File &gt; Submit to Render Farm and choose the target resolution and codec.</w:t>
      </w:r>
    </w:p>
    <w:p>
      <w:pPr>
        <w:pStyle w:val="ListParagraph"/>
        <w:numPr>
          <w:ilvl w:val="0"/>
          <w:numId w:val="2"/>
        </w:numPr>
        <w:spacing w:after="60"/>
      </w:pPr>
      <w:r>
        <w:rPr>
          <w:sz w:val="21"/>
          <w:szCs w:val="21"/>
        </w:rPr>
        <w:t xml:space="preserve">Confirm the render-credit estimate shown before submitting; contact the Render Node Coordinator if quota is insufficient.</w:t>
      </w:r>
    </w:p>
    <w:p>
      <w:pPr>
        <w:pStyle w:val="ListParagraph"/>
        <w:numPr>
          <w:ilvl w:val="0"/>
          <w:numId w:val="2"/>
        </w:numPr>
        <w:spacing w:after="60"/>
      </w:pPr>
      <w:r>
        <w:rPr>
          <w:sz w:val="21"/>
          <w:szCs w:val="21"/>
        </w:rPr>
        <w:t xml:space="preserve">Monitor render status from the Cloud Dashboard; completed files download automatically to the project's designated output folder.</w:t>
      </w:r>
    </w:p>
    <w:p>
      <w:pPr>
        <w:spacing w:after="80"/>
      </w:pPr>
    </w:p>
    <w:p>
      <w:pPr>
        <w:pStyle w:val="Heading1"/>
        <w:spacing w:after="140" w:before="280"/>
      </w:pPr>
      <w:r>
        <w:t xml:space="preserve">4. Automated Compliance Scan</w:t>
      </w:r>
    </w:p>
    <w:p>
      <w:pPr>
        <w:spacing w:after="120"/>
      </w:pPr>
      <w:r>
        <w:rPr>
          <w:sz w:val="21"/>
          <w:szCs w:val="21"/>
        </w:rPr>
        <w:t xml:space="preserve">Every render submitted through the Cloud Render Farm automatically passes through a compliance scan before it is marked ready for QC review.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rPr>
          <w:tblHeader/>
        </w:trPr>
        <w:tc>
          <w:tcPr>
            <w:tcW w:type="dxa" w:w="3600"/>
            <w:shd w:fill="2E5395" w:val="clear"/>
            <w:tcMar>
              <w:top w:type="dxa" w:w="60"/>
              <w:left w:type="dxa" w:w="80"/>
              <w:bottom w:type="dxa" w:w="60"/>
              <w:right w:type="dxa" w:w="80"/>
            </w:tcMar>
          </w:tcPr>
          <w:p>
            <w:r>
              <w:rPr>
                <w:b/>
                <w:bCs/>
                <w:color w:val="FFFFFF"/>
                <w:sz w:val="19"/>
                <w:szCs w:val="19"/>
              </w:rPr>
              <w:t xml:space="preserve">Check</w:t>
            </w:r>
          </w:p>
        </w:tc>
        <w:tc>
          <w:tcPr>
            <w:tcW w:type="dxa" w:w="3600"/>
            <w:shd w:fill="2E5395" w:val="clear"/>
            <w:tcMar>
              <w:top w:type="dxa" w:w="60"/>
              <w:left w:type="dxa" w:w="80"/>
              <w:bottom w:type="dxa" w:w="60"/>
              <w:right w:type="dxa" w:w="80"/>
            </w:tcMar>
          </w:tcPr>
          <w:p>
            <w:r>
              <w:rPr>
                <w:b/>
                <w:bCs/>
                <w:color w:val="FFFFFF"/>
                <w:sz w:val="19"/>
                <w:szCs w:val="19"/>
              </w:rPr>
              <w:t xml:space="preserve">Standard</w:t>
            </w:r>
          </w:p>
        </w:tc>
        <w:tc>
          <w:tcPr>
            <w:tcW w:type="dxa" w:w="3600"/>
            <w:shd w:fill="2E5395" w:val="clear"/>
            <w:tcMar>
              <w:top w:type="dxa" w:w="60"/>
              <w:left w:type="dxa" w:w="80"/>
              <w:bottom w:type="dxa" w:w="60"/>
              <w:right w:type="dxa" w:w="80"/>
            </w:tcMar>
          </w:tcPr>
          <w:p>
            <w:r>
              <w:rPr>
                <w:b/>
                <w:bCs/>
                <w:color w:val="FFFFFF"/>
                <w:sz w:val="19"/>
                <w:szCs w:val="19"/>
              </w:rPr>
              <w:t xml:space="preserve">Result if Failed</w:t>
            </w:r>
          </w:p>
        </w:tc>
      </w:tr>
      <w:tr>
        <w:tc>
          <w:tcPr>
            <w:tcW w:type="dxa" w:w="3600"/>
            <w:tcMar>
              <w:top w:type="dxa" w:w="60"/>
              <w:left w:type="dxa" w:w="80"/>
              <w:bottom w:type="dxa" w:w="60"/>
              <w:right w:type="dxa" w:w="80"/>
            </w:tcMar>
          </w:tcPr>
          <w:p>
            <w:r>
              <w:rPr>
                <w:sz w:val="19"/>
                <w:szCs w:val="19"/>
              </w:rPr>
              <w:t xml:space="preserve">Audio loudness</w:t>
            </w:r>
          </w:p>
        </w:tc>
        <w:tc>
          <w:tcPr>
            <w:tcW w:type="dxa" w:w="3600"/>
            <w:tcMar>
              <w:top w:type="dxa" w:w="60"/>
              <w:left w:type="dxa" w:w="80"/>
              <w:bottom w:type="dxa" w:w="60"/>
              <w:right w:type="dxa" w:w="80"/>
            </w:tcMar>
          </w:tcPr>
          <w:p>
            <w:r>
              <w:rPr>
                <w:sz w:val="19"/>
                <w:szCs w:val="19"/>
              </w:rPr>
              <w:t xml:space="preserve">-16 to -14 LUFS integrated (streaming delivery default)</w:t>
            </w:r>
          </w:p>
        </w:tc>
        <w:tc>
          <w:tcPr>
            <w:tcW w:type="dxa" w:w="3600"/>
            <w:tcMar>
              <w:top w:type="dxa" w:w="60"/>
              <w:left w:type="dxa" w:w="80"/>
              <w:bottom w:type="dxa" w:w="60"/>
              <w:right w:type="dxa" w:w="80"/>
            </w:tcMar>
          </w:tcPr>
          <w:p>
            <w:r>
              <w:rPr>
                <w:sz w:val="19"/>
                <w:szCs w:val="19"/>
              </w:rPr>
              <w:t xml:space="preserve">File flagged; editor must renormalize audio and resubmit.</w:t>
            </w:r>
          </w:p>
        </w:tc>
      </w:tr>
      <w:tr>
        <w:tc>
          <w:tcPr>
            <w:tcW w:type="dxa" w:w="3600"/>
            <w:tcMar>
              <w:top w:type="dxa" w:w="60"/>
              <w:left w:type="dxa" w:w="80"/>
              <w:bottom w:type="dxa" w:w="60"/>
              <w:right w:type="dxa" w:w="80"/>
            </w:tcMar>
          </w:tcPr>
          <w:p>
            <w:r>
              <w:rPr>
                <w:sz w:val="19"/>
                <w:szCs w:val="19"/>
              </w:rPr>
              <w:t xml:space="preserve">Caption presence</w:t>
            </w:r>
          </w:p>
        </w:tc>
        <w:tc>
          <w:tcPr>
            <w:tcW w:type="dxa" w:w="3600"/>
            <w:tcMar>
              <w:top w:type="dxa" w:w="60"/>
              <w:left w:type="dxa" w:w="80"/>
              <w:bottom w:type="dxa" w:w="60"/>
              <w:right w:type="dxa" w:w="80"/>
            </w:tcMar>
          </w:tcPr>
          <w:p>
            <w:r>
              <w:rPr>
                <w:sz w:val="19"/>
                <w:szCs w:val="19"/>
              </w:rPr>
              <w:t xml:space="preserve">Closed captions required for any file over 60 seconds</w:t>
            </w:r>
          </w:p>
        </w:tc>
        <w:tc>
          <w:tcPr>
            <w:tcW w:type="dxa" w:w="3600"/>
            <w:tcMar>
              <w:top w:type="dxa" w:w="60"/>
              <w:left w:type="dxa" w:w="80"/>
              <w:bottom w:type="dxa" w:w="60"/>
              <w:right w:type="dxa" w:w="80"/>
            </w:tcMar>
          </w:tcPr>
          <w:p>
            <w:r>
              <w:rPr>
                <w:sz w:val="19"/>
                <w:szCs w:val="19"/>
              </w:rPr>
              <w:t xml:space="preserve">File flagged; auto-captions must be reviewed and attached.</w:t>
            </w:r>
          </w:p>
        </w:tc>
      </w:tr>
      <w:tr>
        <w:tc>
          <w:tcPr>
            <w:tcW w:type="dxa" w:w="3600"/>
            <w:tcMar>
              <w:top w:type="dxa" w:w="60"/>
              <w:left w:type="dxa" w:w="80"/>
              <w:bottom w:type="dxa" w:w="60"/>
              <w:right w:type="dxa" w:w="80"/>
            </w:tcMar>
          </w:tcPr>
          <w:p>
            <w:r>
              <w:rPr>
                <w:sz w:val="19"/>
                <w:szCs w:val="19"/>
              </w:rPr>
              <w:t xml:space="preserve">Caption accuracy sample</w:t>
            </w:r>
          </w:p>
        </w:tc>
        <w:tc>
          <w:tcPr>
            <w:tcW w:type="dxa" w:w="3600"/>
            <w:tcMar>
              <w:top w:type="dxa" w:w="60"/>
              <w:left w:type="dxa" w:w="80"/>
              <w:bottom w:type="dxa" w:w="60"/>
              <w:right w:type="dxa" w:w="80"/>
            </w:tcMar>
          </w:tcPr>
          <w:p>
            <w:r>
              <w:rPr>
                <w:sz w:val="19"/>
                <w:szCs w:val="19"/>
              </w:rPr>
              <w:t xml:space="preserve">Automated spot-check against audio transcript</w:t>
            </w:r>
          </w:p>
        </w:tc>
        <w:tc>
          <w:tcPr>
            <w:tcW w:type="dxa" w:w="3600"/>
            <w:tcMar>
              <w:top w:type="dxa" w:w="60"/>
              <w:left w:type="dxa" w:w="80"/>
              <w:bottom w:type="dxa" w:w="60"/>
              <w:right w:type="dxa" w:w="80"/>
            </w:tcMar>
          </w:tcPr>
          <w:p>
            <w:r>
              <w:rPr>
                <w:sz w:val="19"/>
                <w:szCs w:val="19"/>
              </w:rPr>
              <w:t xml:space="preserve">Below threshold: routed to human caption QC.</w:t>
            </w:r>
          </w:p>
        </w:tc>
      </w:tr>
    </w:tbl>
    <w:p>
      <w:pPr>
        <w:spacing w:after="80"/>
      </w:pPr>
    </w:p>
    <w:p>
      <w:pPr>
        <w:pStyle w:val="Heading1"/>
        <w:spacing w:after="140" w:before="280"/>
      </w:pPr>
      <w:r>
        <w:t xml:space="preserve">5. Client Deliverable Encryption and DRM Tagging</w:t>
      </w:r>
    </w:p>
    <w:p>
      <w:pPr>
        <w:spacing w:after="120"/>
      </w:pPr>
      <w:r>
        <w:rPr>
          <w:sz w:val="21"/>
          <w:szCs w:val="21"/>
        </w:rPr>
        <w:t xml:space="preserve">Final client deliverables — as distinct from internal review copies — must be encrypted and DRM-tagged before leaving the XYZ Cloud environment.</w:t>
      </w:r>
    </w:p>
    <w:p>
      <w:pPr>
        <w:pStyle w:val="ListParagraph"/>
        <w:numPr>
          <w:ilvl w:val="0"/>
          <w:numId w:val="2"/>
        </w:numPr>
        <w:spacing w:after="60"/>
      </w:pPr>
      <w:r>
        <w:rPr>
          <w:sz w:val="21"/>
          <w:szCs w:val="21"/>
        </w:rPr>
        <w:t xml:space="preserve">After final QC sign-off, select Export &gt; Secure Client Package.</w:t>
      </w:r>
    </w:p>
    <w:p>
      <w:pPr>
        <w:pStyle w:val="ListParagraph"/>
        <w:numPr>
          <w:ilvl w:val="0"/>
          <w:numId w:val="2"/>
        </w:numPr>
        <w:spacing w:after="60"/>
      </w:pPr>
      <w:r>
        <w:rPr>
          <w:sz w:val="21"/>
          <w:szCs w:val="21"/>
        </w:rPr>
        <w:t xml:space="preserve">Confirm the client's registered decryption recipient (email-bound key) in the delivery form.</w:t>
      </w:r>
    </w:p>
    <w:p>
      <w:pPr>
        <w:pStyle w:val="ListParagraph"/>
        <w:numPr>
          <w:ilvl w:val="0"/>
          <w:numId w:val="2"/>
        </w:numPr>
        <w:spacing w:after="60"/>
      </w:pPr>
      <w:r>
        <w:rPr>
          <w:sz w:val="21"/>
          <w:szCs w:val="21"/>
        </w:rPr>
        <w:t xml:space="preserve">Deliver only through the Secure Client Package link generated by StreamCut Pro Cloud; do not email raw video files.</w:t>
      </w:r>
    </w:p>
    <w:p>
      <w:pPr>
        <w:spacing w:after="80"/>
      </w:pPr>
    </w:p>
    <w:p>
      <w:pPr>
        <w:pStyle w:val="Heading1"/>
        <w:spacing w:after="140" w:before="280"/>
      </w:pPr>
      <w:r>
        <w:t xml:space="preserve">6. Review Watermarking (Extended from v2.0)</w:t>
      </w:r>
    </w:p>
    <w:p>
      <w:pPr>
        <w:spacing w:after="120"/>
      </w:pPr>
      <w:r>
        <w:rPr>
          <w:sz w:val="21"/>
          <w:szCs w:val="21"/>
        </w:rPr>
        <w:t xml:space="preserve">The v2.0 watermarking requirement for client review copies remains in force and now applies equally to files rendered on the Cloud Render Farm; the watermark is applied automatically when Client Review is selected as the render purpose.</w:t>
      </w:r>
    </w:p>
    <w:p>
      <w:pPr>
        <w:spacing w:after="80"/>
      </w:pPr>
    </w:p>
    <w:p>
      <w:pPr>
        <w:pStyle w:val="Heading1"/>
        <w:spacing w:after="140" w:before="280"/>
      </w:pPr>
      <w:r>
        <w:t xml:space="preserve">7. File Naming and Archival</w:t>
      </w:r>
    </w:p>
    <w:p>
      <w:pPr>
        <w:spacing w:after="120"/>
      </w:pPr>
      <w:r>
        <w:rPr>
          <w:sz w:val="21"/>
          <w:szCs w:val="21"/>
        </w:rPr>
        <w:t xml:space="preserve">The naming pattern [ProjectCode]_[Title]_[Resolution]_v[N].mp4 continues to apply, now including 8K as a valid resolution tag. Archival to the departmental share remains required within 24 hours of QC sign-off; encrypted client packages are archived in their encrypted form alongside an unencrypted internal master.</w:t>
      </w:r>
    </w:p>
    <w:p>
      <w:pPr>
        <w:spacing w:after="80"/>
      </w:pPr>
    </w:p>
    <w:p>
      <w:pPr>
        <w:pStyle w:val="Heading1"/>
        <w:spacing w:after="140" w:before="280"/>
      </w:pPr>
      <w:r>
        <w:t xml:space="preserve">8. Warnings &amp; Constraints</w:t>
      </w:r>
    </w:p>
    <w:tbl>
      <w:tblPr>
        <w:tblW w:type="dxa" w:w="10800"/>
        <w:tblBorders>
          <w:top w:val="single" w:color="E8A33D" w:sz="4"/>
          <w:left w:val="single" w:color="E8A33D" w:sz="4"/>
          <w:bottom w:val="single" w:color="E8A33D" w:sz="4"/>
          <w:right w:val="single" w:color="E8A33D" w:sz="4"/>
          <w:insideH w:val="single" w:color="auto" w:sz="4"/>
          <w:insideV w:val="single" w:color="auto" w:sz="4"/>
        </w:tblBorders>
      </w:tblPr>
      <w:tblGrid>
        <w:gridCol w:w="10800"/>
      </w:tblGrid>
      <w:tr>
        <w:tc>
          <w:tcPr>
            <w:shd w:fill="FDF3E7" w:val="clear"/>
            <w:tcMar>
              <w:top w:type="dxa" w:w="120"/>
              <w:left w:type="dxa" w:w="160"/>
              <w:bottom w:type="dxa" w:w="120"/>
              <w:right w:type="dxa" w:w="160"/>
            </w:tcMar>
          </w:tcPr>
          <w:p>
            <w:pPr>
              <w:spacing w:after="80"/>
            </w:pPr>
            <w:r>
              <w:rPr>
                <w:b/>
                <w:bCs/>
                <w:color w:val="B45309"/>
                <w:sz w:val="21"/>
                <w:szCs w:val="21"/>
              </w:rPr>
              <w:t xml:space="preserve">⚠ Important Notices</w:t>
            </w:r>
          </w:p>
          <w:p>
            <w:pPr>
              <w:spacing w:after="40"/>
            </w:pPr>
            <w:r>
              <w:rPr>
                <w:color w:val="5A3B12"/>
                <w:sz w:val="20"/>
                <w:szCs w:val="20"/>
              </w:rPr>
              <w:t xml:space="preserve">• Never deliver a final client file outside the Secure Client Package mechanism — raw, unencrypted delivery is a compliance violation under this SOP.</w:t>
            </w:r>
          </w:p>
          <w:p>
            <w:pPr>
              <w:spacing w:after="40"/>
            </w:pPr>
            <w:r>
              <w:rPr>
                <w:color w:val="5A3B12"/>
                <w:sz w:val="20"/>
                <w:szCs w:val="20"/>
              </w:rPr>
              <w:t xml:space="preserve">• A file that fails the automated loudness or caption compliance scan must not be manually overridden to 'ready for delivery' status without Post-Production Operations Manager sign-off.</w:t>
            </w:r>
          </w:p>
          <w:p>
            <w:pPr>
              <w:spacing w:after="40"/>
            </w:pPr>
            <w:r>
              <w:rPr>
                <w:color w:val="5A3B12"/>
                <w:sz w:val="20"/>
                <w:szCs w:val="20"/>
              </w:rPr>
              <w:t xml:space="preserve">• Cloud render-credit quota is shared across the department; large 8K jobs should be scheduled in advance to avoid blocking other teams' deliverables.</w:t>
            </w:r>
          </w:p>
        </w:tc>
      </w:tr>
    </w:tbl>
    <w:p>
      <w:pPr>
        <w:spacing w:after="120"/>
      </w:pPr>
    </w:p>
    <w:p>
      <w:pPr>
        <w:pStyle w:val="Heading1"/>
        <w:spacing w:after="140" w:before="280"/>
      </w:pPr>
      <w:r>
        <w:t xml:space="preserve">9. References</w:t>
      </w:r>
    </w:p>
    <w:p>
      <w:pPr>
        <w:pStyle w:val="ListParagraph"/>
        <w:numPr>
          <w:ilvl w:val="0"/>
          <w:numId w:val="1"/>
        </w:numPr>
        <w:spacing w:after="60"/>
      </w:pPr>
      <w:r>
        <w:rPr>
          <w:sz w:val="21"/>
          <w:szCs w:val="21"/>
        </w:rPr>
        <w:t xml:space="preserve">StreamCut Pro 3.0 User Guide.</w:t>
      </w:r>
    </w:p>
    <w:p>
      <w:pPr>
        <w:pStyle w:val="ListParagraph"/>
        <w:numPr>
          <w:ilvl w:val="0"/>
          <w:numId w:val="1"/>
        </w:numPr>
        <w:spacing w:after="60"/>
      </w:pPr>
      <w:r>
        <w:rPr>
          <w:sz w:val="21"/>
          <w:szCs w:val="21"/>
        </w:rPr>
        <w:t xml:space="preserve">XYZ Cloud Render Farm Dashboard — quota and job monitoring.</w:t>
      </w:r>
    </w:p>
    <w:p>
      <w:pPr>
        <w:pStyle w:val="ListParagraph"/>
        <w:numPr>
          <w:ilvl w:val="0"/>
          <w:numId w:val="1"/>
        </w:numPr>
        <w:spacing w:after="60"/>
      </w:pPr>
      <w:r>
        <w:rPr>
          <w:sz w:val="21"/>
          <w:szCs w:val="21"/>
        </w:rPr>
        <w:t xml:space="preserve">Audio Loudness Standard (LUFS) Reference, XYZ Media Operations Handbook, Section 11.</w:t>
      </w:r>
    </w:p>
    <w:p>
      <w:pPr>
        <w:pStyle w:val="ListParagraph"/>
        <w:numPr>
          <w:ilvl w:val="0"/>
          <w:numId w:val="1"/>
        </w:numPr>
        <w:spacing w:after="60"/>
      </w:pPr>
      <w:r>
        <w:rPr>
          <w:sz w:val="21"/>
          <w:szCs w:val="21"/>
        </w:rPr>
        <w:t xml:space="preserve">Accessibility Caption Standard, XYZ Compliance Office Policy AC-2.</w:t>
      </w:r>
    </w:p>
    <w:p>
      <w:pPr>
        <w:pStyle w:val="Heading1"/>
        <w:spacing w:after="140" w:before="280"/>
      </w:pPr>
      <w:r>
        <w:t xml:space="preserve">10. Related Documents</w:t>
      </w:r>
    </w:p>
    <w:p>
      <w:pPr>
        <w:pStyle w:val="ListParagraph"/>
        <w:numPr>
          <w:ilvl w:val="0"/>
          <w:numId w:val="1"/>
        </w:numPr>
        <w:spacing w:after="60"/>
      </w:pPr>
      <w:r>
        <w:rPr>
          <w:sz w:val="21"/>
          <w:szCs w:val="21"/>
        </w:rPr>
        <w:t xml:space="preserve">XYZ_StreamCutPro_SOP_VideoRenderingExport_v2.0.docx (prior release)</w:t>
      </w:r>
    </w:p>
    <w:p>
      <w:pPr>
        <w:pStyle w:val="ListParagraph"/>
        <w:numPr>
          <w:ilvl w:val="0"/>
          <w:numId w:val="1"/>
        </w:numPr>
        <w:spacing w:after="60"/>
      </w:pPr>
      <w:r>
        <w:rPr>
          <w:sz w:val="21"/>
          <w:szCs w:val="21"/>
        </w:rPr>
        <w:t xml:space="preserve">XYZ_StreamCutPro_UserGuide_v3.0.docx</w:t>
      </w:r>
    </w:p>
    <w:p>
      <w:pPr>
        <w:pStyle w:val="ListParagraph"/>
        <w:numPr>
          <w:ilvl w:val="0"/>
          <w:numId w:val="1"/>
        </w:numPr>
        <w:spacing w:after="60"/>
      </w:pPr>
      <w:r>
        <w:rPr>
          <w:sz w:val="21"/>
          <w:szCs w:val="21"/>
        </w:rPr>
        <w:t xml:space="preserve">XYZ_StreamCutPro_JobAid_QuickReference_v3.0.docx</w:t>
      </w:r>
    </w:p>
    <w:p>
      <w:pPr>
        <w:pStyle w:val="ListParagraph"/>
        <w:numPr>
          <w:ilvl w:val="0"/>
          <w:numId w:val="1"/>
        </w:numPr>
        <w:spacing w:after="60"/>
      </w:pPr>
      <w:r>
        <w:rPr>
          <w:sz w:val="21"/>
          <w:szCs w:val="21"/>
        </w:rPr>
        <w:t xml:space="preserve">XYZ_StreamCutPro_API_IntegrationGuide_v1.0.docx</w:t>
      </w:r>
    </w:p>
    <w:p>
      <w:pPr>
        <w:pStyle w:val="Heading1"/>
        <w:spacing w:after="140" w:before="280"/>
      </w:pPr>
      <w:r>
        <w:t xml:space="preserve">11. Revision History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6000"/>
      </w:tblGrid>
      <w:tr>
        <w:trPr>
          <w:tblHeader/>
        </w:trPr>
        <w:tc>
          <w:tcPr>
            <w:tcW w:type="dxa" w:w="1400"/>
            <w:shd w:fill="2E5395" w:val="clear"/>
            <w:tcMar>
              <w:top w:type="dxa" w:w="60"/>
              <w:left w:type="dxa" w:w="80"/>
              <w:bottom w:type="dxa" w:w="60"/>
              <w:right w:type="dxa" w:w="80"/>
            </w:tcMar>
          </w:tcPr>
          <w:p>
            <w:r>
              <w:rPr>
                <w:b/>
                <w:bCs/>
                <w:color w:val="FFFFFF"/>
                <w:sz w:val="19"/>
                <w:szCs w:val="19"/>
              </w:rPr>
              <w:t xml:space="preserve">Version</w:t>
            </w:r>
          </w:p>
        </w:tc>
        <w:tc>
          <w:tcPr>
            <w:tcW w:type="dxa" w:w="1800"/>
            <w:shd w:fill="2E5395" w:val="clear"/>
            <w:tcMar>
              <w:top w:type="dxa" w:w="60"/>
              <w:left w:type="dxa" w:w="80"/>
              <w:bottom w:type="dxa" w:w="60"/>
              <w:right w:type="dxa" w:w="80"/>
            </w:tcMar>
          </w:tcPr>
          <w:p>
            <w:r>
              <w:rPr>
                <w:b/>
                <w:bCs/>
                <w:color w:val="FFFFFF"/>
                <w:sz w:val="19"/>
                <w:szCs w:val="19"/>
              </w:rPr>
              <w:t xml:space="preserve">Date</w:t>
            </w:r>
          </w:p>
        </w:tc>
        <w:tc>
          <w:tcPr>
            <w:tcW w:type="dxa" w:w="2600"/>
            <w:shd w:fill="2E5395" w:val="clear"/>
            <w:tcMar>
              <w:top w:type="dxa" w:w="60"/>
              <w:left w:type="dxa" w:w="80"/>
              <w:bottom w:type="dxa" w:w="60"/>
              <w:right w:type="dxa" w:w="80"/>
            </w:tcMar>
          </w:tcPr>
          <w:p>
            <w:r>
              <w:rPr>
                <w:b/>
                <w:bCs/>
                <w:color w:val="FFFFFF"/>
                <w:sz w:val="19"/>
                <w:szCs w:val="19"/>
              </w:rPr>
              <w:t xml:space="preserve">Author</w:t>
            </w:r>
          </w:p>
        </w:tc>
        <w:tc>
          <w:tcPr>
            <w:tcW w:type="dxa" w:w="6000"/>
            <w:shd w:fill="2E5395" w:val="clear"/>
            <w:tcMar>
              <w:top w:type="dxa" w:w="60"/>
              <w:left w:type="dxa" w:w="80"/>
              <w:bottom w:type="dxa" w:w="60"/>
              <w:right w:type="dxa" w:w="80"/>
            </w:tcMar>
          </w:tcPr>
          <w:p>
            <w:r>
              <w:rPr>
                <w:b/>
                <w:bCs/>
                <w:color w:val="FFFFFF"/>
                <w:sz w:val="19"/>
                <w:szCs w:val="19"/>
              </w:rPr>
              <w:t xml:space="preserve">Summary of Changes</w:t>
            </w:r>
          </w:p>
        </w:tc>
      </w:tr>
      <w:tr>
        <w:tc>
          <w:tcPr>
            <w:tcW w:type="dxa" w:w="1400"/>
            <w:tcMar>
              <w:top w:type="dxa" w:w="60"/>
              <w:left w:type="dxa" w:w="80"/>
              <w:bottom w:type="dxa" w:w="60"/>
              <w:right w:type="dxa" w:w="80"/>
            </w:tcMar>
          </w:tcPr>
          <w:p>
            <w:r>
              <w:rPr>
                <w:sz w:val="19"/>
                <w:szCs w:val="19"/>
              </w:rPr>
              <w:t xml:space="preserve">2.0</w:t>
            </w:r>
          </w:p>
        </w:tc>
        <w:tc>
          <w:tcPr>
            <w:tcW w:type="dxa" w:w="1800"/>
            <w:tcMar>
              <w:top w:type="dxa" w:w="60"/>
              <w:left w:type="dxa" w:w="80"/>
              <w:bottom w:type="dxa" w:w="60"/>
              <w:right w:type="dxa" w:w="80"/>
            </w:tcMar>
          </w:tcPr>
          <w:p>
            <w:r>
              <w:rPr>
                <w:sz w:val="19"/>
                <w:szCs w:val="19"/>
              </w:rPr>
              <w:t xml:space="preserve">2024-09-20</w:t>
            </w:r>
          </w:p>
        </w:tc>
        <w:tc>
          <w:tcPr>
            <w:tcW w:type="dxa" w:w="2600"/>
            <w:tcMar>
              <w:top w:type="dxa" w:w="60"/>
              <w:left w:type="dxa" w:w="80"/>
              <w:bottom w:type="dxa" w:w="60"/>
              <w:right w:type="dxa" w:w="80"/>
            </w:tcMar>
          </w:tcPr>
          <w:p>
            <w:r>
              <w:rPr>
                <w:sz w:val="19"/>
                <w:szCs w:val="19"/>
              </w:rPr>
              <w:t xml:space="preserve">R. Cho</w:t>
            </w:r>
          </w:p>
        </w:tc>
        <w:tc>
          <w:tcPr>
            <w:tcW w:type="dxa" w:w="6000"/>
            <w:tcMar>
              <w:top w:type="dxa" w:w="60"/>
              <w:left w:type="dxa" w:w="80"/>
              <w:bottom w:type="dxa" w:w="60"/>
              <w:right w:type="dxa" w:w="80"/>
            </w:tcMar>
          </w:tcPr>
          <w:p>
            <w:r>
              <w:rPr>
                <w:sz w:val="19"/>
                <w:szCs w:val="19"/>
              </w:rPr>
              <w:t xml:space="preserve">Prior release: proxy media, GPU render nodes, ICC color management, watermarking.</w:t>
            </w:r>
          </w:p>
        </w:tc>
      </w:tr>
      <w:tr>
        <w:tc>
          <w:tcPr>
            <w:tcW w:type="dxa" w:w="1400"/>
            <w:tcMar>
              <w:top w:type="dxa" w:w="60"/>
              <w:left w:type="dxa" w:w="80"/>
              <w:bottom w:type="dxa" w:w="60"/>
              <w:right w:type="dxa" w:w="80"/>
            </w:tcMar>
          </w:tcPr>
          <w:p>
            <w:r>
              <w:rPr>
                <w:sz w:val="19"/>
                <w:szCs w:val="19"/>
              </w:rPr>
              <w:t xml:space="preserve">3.0</w:t>
            </w:r>
          </w:p>
        </w:tc>
        <w:tc>
          <w:tcPr>
            <w:tcW w:type="dxa" w:w="1800"/>
            <w:tcMar>
              <w:top w:type="dxa" w:w="60"/>
              <w:left w:type="dxa" w:w="80"/>
              <w:bottom w:type="dxa" w:w="60"/>
              <w:right w:type="dxa" w:w="80"/>
            </w:tcMar>
          </w:tcPr>
          <w:p>
            <w:r>
              <w:rPr>
                <w:sz w:val="19"/>
                <w:szCs w:val="19"/>
              </w:rPr>
              <w:t xml:space="preserve">2025-06-10</w:t>
            </w:r>
          </w:p>
        </w:tc>
        <w:tc>
          <w:tcPr>
            <w:tcW w:type="dxa" w:w="2600"/>
            <w:tcMar>
              <w:top w:type="dxa" w:w="60"/>
              <w:left w:type="dxa" w:w="80"/>
              <w:bottom w:type="dxa" w:w="60"/>
              <w:right w:type="dxa" w:w="80"/>
            </w:tcMar>
          </w:tcPr>
          <w:p>
            <w:r>
              <w:rPr>
                <w:sz w:val="19"/>
                <w:szCs w:val="19"/>
              </w:rPr>
              <w:t xml:space="preserve">R. Cho</w:t>
            </w:r>
          </w:p>
        </w:tc>
        <w:tc>
          <w:tcPr>
            <w:tcW w:type="dxa" w:w="6000"/>
            <w:tcMar>
              <w:top w:type="dxa" w:w="60"/>
              <w:left w:type="dxa" w:w="80"/>
              <w:bottom w:type="dxa" w:w="60"/>
              <w:right w:type="dxa" w:w="80"/>
            </w:tcMar>
          </w:tcPr>
          <w:p>
            <w:r>
              <w:rPr>
                <w:sz w:val="19"/>
                <w:szCs w:val="19"/>
              </w:rPr>
              <w:t xml:space="preserve">Added cloud render farm submission, automated loudness/caption compliance scan, client deliverable encryption and DRM tagging.</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XYZ Corporation — Confidential Internal Documentation  |  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5"/>
        <w:szCs w:val="15"/>
      </w:rPr>
      <w:t xml:space="preserve">XYZ-SCP-SOP-3.0  |  SOP: Video Rendering &amp; Export — StreamCut Pro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Calibri" w:cs="Calibri" w:eastAsia="Calibri" w:hAnsi="Calibri"/>
      <w:b/>
      <w:bCs/>
      <w:color w:val="1F3864"/>
      <w:sz w:val="27"/>
      <w:szCs w:val="27"/>
    </w:rPr>
  </w:style>
  <w:style w:type="paragraph" w:styleId="Heading2">
    <w:name w:val="Heading 2"/>
    <w:basedOn w:val="Normal"/>
    <w:next w:val="Normal"/>
    <w:qFormat/>
    <w:pPr>
      <w:spacing w:after="90" w:before="160"/>
    </w:pPr>
    <w:rPr>
      <w:rFonts w:ascii="Calibri" w:cs="Calibri" w:eastAsia="Calibri" w:hAnsi="Calibri"/>
      <w:b/>
      <w:bCs/>
      <w:color w:val="2E5395"/>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2026-07-23T05:00:36.123Z</dcterms:created>
  <dcterms:modified xsi:type="dcterms:W3CDTF">2026-07-23T05:00:36.123Z</dcterms:modified>
</cp:coreProperties>
</file>

<file path=docProps/custom.xml><?xml version="1.0" encoding="utf-8"?>
<Properties xmlns="http://schemas.openxmlformats.org/officeDocument/2006/custom-properties" xmlns:vt="http://schemas.openxmlformats.org/officeDocument/2006/docPropsVTypes"/>
</file>