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2563EB"/>
          <w:sz w:val="20"/>
        </w:rPr>
        <w:t>APAR INDUSTRIES LIMITED — EPC INFRASTRUCTURE DIVISION</w:t>
        <w:br/>
      </w:r>
      <w:r>
        <w:rPr>
          <w:b/>
          <w:color w:val="0F172A"/>
          <w:sz w:val="36"/>
        </w:rPr>
        <w:t>ROLE-WISE DOCUMENT RESPONSIBILITY &amp; MAINTENANCE MATRIX</w:t>
      </w:r>
    </w:p>
    <w:p>
      <w:pPr>
        <w:spacing w:after="280"/>
      </w:pPr>
      <w:r>
        <w:rPr>
          <w:i/>
          <w:color w:val="475569"/>
          <w:sz w:val="20"/>
        </w:rPr>
        <w:t>Standard Operating Procedure for 60-Day Golden Period &amp; Turnkey Execution · SOP-EPC-DOC-01</w:t>
      </w:r>
    </w:p>
    <w:p>
      <w:pPr>
        <w:spacing w:after="240"/>
      </w:pPr>
      <w:r>
        <w:rPr>
          <w:color w:val="1E293B"/>
          <w:sz w:val="19"/>
        </w:rPr>
        <w:t>Purpose: This document defines the definitive mapping between project roles, designated personas, and the critical contractual, technical, and statutory documents that must be uploaded, tracked, and maintained within the EPC Suite system to clear gate clearances and hit the ground in 60 days.</w:t>
      </w:r>
    </w:p>
    <w:p>
      <w:pPr>
        <w:pStyle w:val="Heading1"/>
        <w:spacing w:before="280" w:after="120"/>
      </w:pPr>
      <w:r>
        <w:rPr>
          <w:color w:val="0F172A"/>
          <w:sz w:val="26"/>
        </w:rPr>
        <w:t>1. Master Role-to-Document Quick Reference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576"/>
            <w:shd w:fill="0F172A"/>
            <w:tcMar>
              <w:top w:w="120" w:type="dxa"/>
              <w:bottom w:w="120" w:type="dxa"/>
              <w:left w:w="100" w:type="dxa"/>
              <w:right w:w="100" w:type="dxa"/>
            </w:tcMar>
          </w:tcPr>
          <w:p>
            <w:pPr>
              <w:jc w:val="left"/>
            </w:pPr>
            <w:r>
              <w:rPr>
                <w:b/>
                <w:color w:val="FFFFFF"/>
                <w:sz w:val="17"/>
              </w:rPr>
              <w:t>#</w:t>
            </w:r>
          </w:p>
        </w:tc>
        <w:tc>
          <w:tcPr>
            <w:tcW w:type="dxa" w:w="2304"/>
            <w:shd w:fill="0F172A"/>
            <w:tcMar>
              <w:top w:w="120" w:type="dxa"/>
              <w:bottom w:w="120" w:type="dxa"/>
              <w:left w:w="100" w:type="dxa"/>
              <w:right w:w="100" w:type="dxa"/>
            </w:tcMar>
          </w:tcPr>
          <w:p>
            <w:pPr>
              <w:jc w:val="left"/>
            </w:pPr>
            <w:r>
              <w:rPr>
                <w:b/>
                <w:color w:val="FFFFFF"/>
                <w:sz w:val="17"/>
              </w:rPr>
              <w:t>Role Title</w:t>
            </w:r>
          </w:p>
        </w:tc>
        <w:tc>
          <w:tcPr>
            <w:tcW w:type="dxa" w:w="2016"/>
            <w:shd w:fill="0F172A"/>
            <w:tcMar>
              <w:top w:w="120" w:type="dxa"/>
              <w:bottom w:w="120" w:type="dxa"/>
              <w:left w:w="100" w:type="dxa"/>
              <w:right w:w="100" w:type="dxa"/>
            </w:tcMar>
          </w:tcPr>
          <w:p>
            <w:pPr>
              <w:jc w:val="left"/>
            </w:pPr>
            <w:r>
              <w:rPr>
                <w:b/>
                <w:color w:val="FFFFFF"/>
                <w:sz w:val="17"/>
              </w:rPr>
              <w:t>Persona / User</w:t>
            </w:r>
          </w:p>
        </w:tc>
        <w:tc>
          <w:tcPr>
            <w:tcW w:type="dxa" w:w="2304"/>
            <w:shd w:fill="0F172A"/>
            <w:tcMar>
              <w:top w:w="120" w:type="dxa"/>
              <w:bottom w:w="120" w:type="dxa"/>
              <w:left w:w="100" w:type="dxa"/>
              <w:right w:w="100" w:type="dxa"/>
            </w:tcMar>
          </w:tcPr>
          <w:p>
            <w:pPr>
              <w:jc w:val="left"/>
            </w:pPr>
            <w:r>
              <w:rPr>
                <w:b/>
                <w:color w:val="FFFFFF"/>
                <w:sz w:val="17"/>
              </w:rPr>
              <w:t>System Module Route</w:t>
            </w:r>
          </w:p>
        </w:tc>
        <w:tc>
          <w:tcPr>
            <w:tcW w:type="dxa" w:w="2880"/>
            <w:shd w:fill="0F172A"/>
            <w:tcMar>
              <w:top w:w="120" w:type="dxa"/>
              <w:bottom w:w="120" w:type="dxa"/>
              <w:left w:w="100" w:type="dxa"/>
              <w:right w:w="100" w:type="dxa"/>
            </w:tcMar>
          </w:tcPr>
          <w:p>
            <w:pPr>
              <w:jc w:val="left"/>
            </w:pPr>
            <w:r>
              <w:rPr>
                <w:b/>
                <w:color w:val="FFFFFF"/>
                <w:sz w:val="17"/>
              </w:rPr>
              <w:t>Primary Documents Handled</w:t>
            </w:r>
          </w:p>
        </w:tc>
      </w:tr>
      <w:tr>
        <w:tc>
          <w:tcPr>
            <w:tcW w:type="dxa" w:w="576"/>
            <w:shd w:fill="FFFFFF"/>
            <w:tcMar>
              <w:top w:w="80" w:type="dxa"/>
              <w:bottom w:w="80" w:type="dxa"/>
              <w:left w:w="100" w:type="dxa"/>
              <w:right w:w="100" w:type="dxa"/>
            </w:tcMar>
          </w:tcPr>
          <w:p>
            <w:r>
              <w:rPr>
                <w:b/>
                <w:sz w:val="17"/>
              </w:rPr>
              <w:t>1</w:t>
            </w:r>
          </w:p>
        </w:tc>
        <w:tc>
          <w:tcPr>
            <w:tcW w:type="dxa" w:w="2304"/>
            <w:shd w:fill="FFFFFF"/>
            <w:tcMar>
              <w:top w:w="80" w:type="dxa"/>
              <w:bottom w:w="80" w:type="dxa"/>
              <w:left w:w="100" w:type="dxa"/>
              <w:right w:w="100" w:type="dxa"/>
            </w:tcMar>
          </w:tcPr>
          <w:p>
            <w:r>
              <w:rPr>
                <w:b/>
                <w:color w:val="1E293B"/>
                <w:sz w:val="17"/>
              </w:rPr>
              <w:t>Bid &amp; Marketing Manager</w:t>
            </w:r>
          </w:p>
        </w:tc>
        <w:tc>
          <w:tcPr>
            <w:tcW w:type="dxa" w:w="2016"/>
            <w:shd w:fill="FFFFFF"/>
            <w:tcMar>
              <w:top w:w="80" w:type="dxa"/>
              <w:bottom w:w="80" w:type="dxa"/>
              <w:left w:w="100" w:type="dxa"/>
              <w:right w:w="100" w:type="dxa"/>
            </w:tcMar>
          </w:tcPr>
          <w:p>
            <w:r>
              <w:rPr>
                <w:sz w:val="17"/>
              </w:rPr>
              <w:t>Amit Patel</w:t>
            </w:r>
          </w:p>
        </w:tc>
        <w:tc>
          <w:tcPr>
            <w:tcW w:type="dxa" w:w="2304"/>
            <w:shd w:fill="FFFFFF"/>
            <w:tcMar>
              <w:top w:w="80" w:type="dxa"/>
              <w:bottom w:w="80" w:type="dxa"/>
              <w:left w:w="100" w:type="dxa"/>
              <w:right w:w="100" w:type="dxa"/>
            </w:tcMar>
          </w:tcPr>
          <w:p>
            <w:r>
              <w:rPr>
                <w:sz w:val="17"/>
              </w:rPr>
              <w:t>/contracts, /golden-period/dispatches</w:t>
            </w:r>
          </w:p>
        </w:tc>
        <w:tc>
          <w:tcPr>
            <w:tcW w:type="dxa" w:w="2880"/>
            <w:shd w:fill="FFFFFF"/>
            <w:tcMar>
              <w:top w:w="80" w:type="dxa"/>
              <w:bottom w:w="80" w:type="dxa"/>
              <w:left w:w="100" w:type="dxa"/>
              <w:right w:w="100" w:type="dxa"/>
            </w:tcMar>
          </w:tcPr>
          <w:p>
            <w:r>
              <w:rPr>
                <w:sz w:val="17"/>
              </w:rPr>
              <w:t>Letter of Award (LOA), Utility Inspector Nomination, Dispatch Instruction (DI)</w:t>
            </w:r>
          </w:p>
        </w:tc>
      </w:tr>
      <w:tr>
        <w:tc>
          <w:tcPr>
            <w:tcW w:type="dxa" w:w="576"/>
            <w:shd w:fill="F8FAFC"/>
            <w:tcMar>
              <w:top w:w="80" w:type="dxa"/>
              <w:bottom w:w="80" w:type="dxa"/>
              <w:left w:w="100" w:type="dxa"/>
              <w:right w:w="100" w:type="dxa"/>
            </w:tcMar>
          </w:tcPr>
          <w:p>
            <w:r>
              <w:rPr>
                <w:b/>
                <w:sz w:val="17"/>
              </w:rPr>
              <w:t>2</w:t>
            </w:r>
          </w:p>
        </w:tc>
        <w:tc>
          <w:tcPr>
            <w:tcW w:type="dxa" w:w="2304"/>
            <w:shd w:fill="F8FAFC"/>
            <w:tcMar>
              <w:top w:w="80" w:type="dxa"/>
              <w:bottom w:w="80" w:type="dxa"/>
              <w:left w:w="100" w:type="dxa"/>
              <w:right w:w="100" w:type="dxa"/>
            </w:tcMar>
          </w:tcPr>
          <w:p>
            <w:r>
              <w:rPr>
                <w:b/>
                <w:color w:val="1E293B"/>
                <w:sz w:val="17"/>
              </w:rPr>
              <w:t>Contracts &amp; Legal Manager</w:t>
            </w:r>
          </w:p>
        </w:tc>
        <w:tc>
          <w:tcPr>
            <w:tcW w:type="dxa" w:w="2016"/>
            <w:shd w:fill="F8FAFC"/>
            <w:tcMar>
              <w:top w:w="80" w:type="dxa"/>
              <w:bottom w:w="80" w:type="dxa"/>
              <w:left w:w="100" w:type="dxa"/>
              <w:right w:w="100" w:type="dxa"/>
            </w:tcMar>
          </w:tcPr>
          <w:p>
            <w:r>
              <w:rPr>
                <w:sz w:val="17"/>
              </w:rPr>
              <w:t>Rahul Mehta / Akash Dubey</w:t>
            </w:r>
          </w:p>
        </w:tc>
        <w:tc>
          <w:tcPr>
            <w:tcW w:type="dxa" w:w="2304"/>
            <w:shd w:fill="F8FAFC"/>
            <w:tcMar>
              <w:top w:w="80" w:type="dxa"/>
              <w:bottom w:w="80" w:type="dxa"/>
              <w:left w:w="100" w:type="dxa"/>
              <w:right w:w="100" w:type="dxa"/>
            </w:tcMar>
          </w:tcPr>
          <w:p>
            <w:r>
              <w:rPr>
                <w:sz w:val="17"/>
              </w:rPr>
              <w:t>/contracts (Client BOQ)</w:t>
            </w:r>
          </w:p>
        </w:tc>
        <w:tc>
          <w:tcPr>
            <w:tcW w:type="dxa" w:w="2880"/>
            <w:shd w:fill="F8FAFC"/>
            <w:tcMar>
              <w:top w:w="80" w:type="dxa"/>
              <w:bottom w:w="80" w:type="dxa"/>
              <w:left w:w="100" w:type="dxa"/>
              <w:right w:w="100" w:type="dxa"/>
            </w:tcMar>
          </w:tcPr>
          <w:p>
            <w:r>
              <w:rPr>
                <w:sz w:val="17"/>
              </w:rPr>
              <w:t>Signed Contract Agreement, Mother BOQ Schedule, Scope Variations</w:t>
            </w:r>
          </w:p>
        </w:tc>
      </w:tr>
      <w:tr>
        <w:tc>
          <w:tcPr>
            <w:tcW w:type="dxa" w:w="576"/>
            <w:shd w:fill="FFFFFF"/>
            <w:tcMar>
              <w:top w:w="80" w:type="dxa"/>
              <w:bottom w:w="80" w:type="dxa"/>
              <w:left w:w="100" w:type="dxa"/>
              <w:right w:w="100" w:type="dxa"/>
            </w:tcMar>
          </w:tcPr>
          <w:p>
            <w:r>
              <w:rPr>
                <w:b/>
                <w:sz w:val="17"/>
              </w:rPr>
              <w:t>3</w:t>
            </w:r>
          </w:p>
        </w:tc>
        <w:tc>
          <w:tcPr>
            <w:tcW w:type="dxa" w:w="2304"/>
            <w:shd w:fill="FFFFFF"/>
            <w:tcMar>
              <w:top w:w="80" w:type="dxa"/>
              <w:bottom w:w="80" w:type="dxa"/>
              <w:left w:w="100" w:type="dxa"/>
              <w:right w:w="100" w:type="dxa"/>
            </w:tcMar>
          </w:tcPr>
          <w:p>
            <w:r>
              <w:rPr>
                <w:b/>
                <w:color w:val="1E293B"/>
                <w:sz w:val="17"/>
              </w:rPr>
              <w:t>Treasury &amp; Finance Manager</w:t>
            </w:r>
          </w:p>
        </w:tc>
        <w:tc>
          <w:tcPr>
            <w:tcW w:type="dxa" w:w="2016"/>
            <w:shd w:fill="FFFFFF"/>
            <w:tcMar>
              <w:top w:w="80" w:type="dxa"/>
              <w:bottom w:w="80" w:type="dxa"/>
              <w:left w:w="100" w:type="dxa"/>
              <w:right w:w="100" w:type="dxa"/>
            </w:tcMar>
          </w:tcPr>
          <w:p>
            <w:r>
              <w:rPr>
                <w:sz w:val="17"/>
              </w:rPr>
              <w:t>Gaurav Chawla / Neha Gupta</w:t>
            </w:r>
          </w:p>
        </w:tc>
        <w:tc>
          <w:tcPr>
            <w:tcW w:type="dxa" w:w="2304"/>
            <w:shd w:fill="FFFFFF"/>
            <w:tcMar>
              <w:top w:w="80" w:type="dxa"/>
              <w:bottom w:w="80" w:type="dxa"/>
              <w:left w:w="100" w:type="dxa"/>
              <w:right w:w="100" w:type="dxa"/>
            </w:tcMar>
          </w:tcPr>
          <w:p>
            <w:r>
              <w:rPr>
                <w:sz w:val="17"/>
              </w:rPr>
              <w:t>/golden-period/bank-guarantees</w:t>
            </w:r>
          </w:p>
        </w:tc>
        <w:tc>
          <w:tcPr>
            <w:tcW w:type="dxa" w:w="2880"/>
            <w:shd w:fill="FFFFFF"/>
            <w:tcMar>
              <w:top w:w="80" w:type="dxa"/>
              <w:bottom w:w="80" w:type="dxa"/>
              <w:left w:w="100" w:type="dxa"/>
              <w:right w:w="100" w:type="dxa"/>
            </w:tcMar>
          </w:tcPr>
          <w:p>
            <w:r>
              <w:rPr>
                <w:sz w:val="17"/>
              </w:rPr>
              <w:t>Contract Performance BG (CPBG), Mobilization Advance BG (APBG)</w:t>
            </w:r>
          </w:p>
        </w:tc>
      </w:tr>
      <w:tr>
        <w:tc>
          <w:tcPr>
            <w:tcW w:type="dxa" w:w="576"/>
            <w:shd w:fill="F8FAFC"/>
            <w:tcMar>
              <w:top w:w="80" w:type="dxa"/>
              <w:bottom w:w="80" w:type="dxa"/>
              <w:left w:w="100" w:type="dxa"/>
              <w:right w:w="100" w:type="dxa"/>
            </w:tcMar>
          </w:tcPr>
          <w:p>
            <w:r>
              <w:rPr>
                <w:b/>
                <w:sz w:val="17"/>
              </w:rPr>
              <w:t>4</w:t>
            </w:r>
          </w:p>
        </w:tc>
        <w:tc>
          <w:tcPr>
            <w:tcW w:type="dxa" w:w="2304"/>
            <w:shd w:fill="F8FAFC"/>
            <w:tcMar>
              <w:top w:w="80" w:type="dxa"/>
              <w:bottom w:w="80" w:type="dxa"/>
              <w:left w:w="100" w:type="dxa"/>
              <w:right w:w="100" w:type="dxa"/>
            </w:tcMar>
          </w:tcPr>
          <w:p>
            <w:r>
              <w:rPr>
                <w:b/>
                <w:color w:val="1E293B"/>
                <w:sz w:val="17"/>
              </w:rPr>
              <w:t>Project Director / Manager</w:t>
            </w:r>
          </w:p>
        </w:tc>
        <w:tc>
          <w:tcPr>
            <w:tcW w:type="dxa" w:w="2016"/>
            <w:shd w:fill="F8FAFC"/>
            <w:tcMar>
              <w:top w:w="80" w:type="dxa"/>
              <w:bottom w:w="80" w:type="dxa"/>
              <w:left w:w="100" w:type="dxa"/>
              <w:right w:w="100" w:type="dxa"/>
            </w:tcMar>
          </w:tcPr>
          <w:p>
            <w:r>
              <w:rPr>
                <w:sz w:val="17"/>
              </w:rPr>
              <w:t>Sunil Verma / Priya Sharma</w:t>
            </w:r>
          </w:p>
        </w:tc>
        <w:tc>
          <w:tcPr>
            <w:tcW w:type="dxa" w:w="2304"/>
            <w:shd w:fill="F8FAFC"/>
            <w:tcMar>
              <w:top w:w="80" w:type="dxa"/>
              <w:bottom w:w="80" w:type="dxa"/>
              <w:left w:w="100" w:type="dxa"/>
              <w:right w:w="100" w:type="dxa"/>
            </w:tcMar>
          </w:tcPr>
          <w:p>
            <w:r>
              <w:rPr>
                <w:sz w:val="17"/>
              </w:rPr>
              <w:t>/wbs, /golden-period</w:t>
            </w:r>
          </w:p>
        </w:tc>
        <w:tc>
          <w:tcPr>
            <w:tcW w:type="dxa" w:w="2880"/>
            <w:shd w:fill="F8FAFC"/>
            <w:tcMar>
              <w:top w:w="80" w:type="dxa"/>
              <w:bottom w:w="80" w:type="dxa"/>
              <w:left w:w="100" w:type="dxa"/>
              <w:right w:w="100" w:type="dxa"/>
            </w:tcMar>
          </w:tcPr>
          <w:p>
            <w:r>
              <w:rPr>
                <w:sz w:val="17"/>
              </w:rPr>
              <w:t>L2 Baseline WBS Schedule, 60-Day Gate Sign-off, EOT Delay Claims</w:t>
            </w:r>
          </w:p>
        </w:tc>
      </w:tr>
      <w:tr>
        <w:tc>
          <w:tcPr>
            <w:tcW w:type="dxa" w:w="576"/>
            <w:shd w:fill="FFFFFF"/>
            <w:tcMar>
              <w:top w:w="80" w:type="dxa"/>
              <w:bottom w:w="80" w:type="dxa"/>
              <w:left w:w="100" w:type="dxa"/>
              <w:right w:w="100" w:type="dxa"/>
            </w:tcMar>
          </w:tcPr>
          <w:p>
            <w:r>
              <w:rPr>
                <w:b/>
                <w:sz w:val="17"/>
              </w:rPr>
              <w:t>5</w:t>
            </w:r>
          </w:p>
        </w:tc>
        <w:tc>
          <w:tcPr>
            <w:tcW w:type="dxa" w:w="2304"/>
            <w:shd w:fill="FFFFFF"/>
            <w:tcMar>
              <w:top w:w="80" w:type="dxa"/>
              <w:bottom w:w="80" w:type="dxa"/>
              <w:left w:w="100" w:type="dxa"/>
              <w:right w:w="100" w:type="dxa"/>
            </w:tcMar>
          </w:tcPr>
          <w:p>
            <w:r>
              <w:rPr>
                <w:b/>
                <w:color w:val="1E293B"/>
                <w:sz w:val="17"/>
              </w:rPr>
              <w:t>Lead Design &amp; Survey</w:t>
            </w:r>
          </w:p>
        </w:tc>
        <w:tc>
          <w:tcPr>
            <w:tcW w:type="dxa" w:w="2016"/>
            <w:shd w:fill="FFFFFF"/>
            <w:tcMar>
              <w:top w:w="80" w:type="dxa"/>
              <w:bottom w:w="80" w:type="dxa"/>
              <w:left w:w="100" w:type="dxa"/>
              <w:right w:w="100" w:type="dxa"/>
            </w:tcMar>
          </w:tcPr>
          <w:p>
            <w:r>
              <w:rPr>
                <w:sz w:val="17"/>
              </w:rPr>
              <w:t>Vikram Singh / Arun Mishra</w:t>
            </w:r>
          </w:p>
        </w:tc>
        <w:tc>
          <w:tcPr>
            <w:tcW w:type="dxa" w:w="2304"/>
            <w:shd w:fill="FFFFFF"/>
            <w:tcMar>
              <w:top w:w="80" w:type="dxa"/>
              <w:bottom w:w="80" w:type="dxa"/>
              <w:left w:w="100" w:type="dxa"/>
              <w:right w:w="100" w:type="dxa"/>
            </w:tcMar>
          </w:tcPr>
          <w:p>
            <w:r>
              <w:rPr>
                <w:sz w:val="17"/>
              </w:rPr>
              <w:t>/site-surveys, /transmittals, /crs</w:t>
            </w:r>
          </w:p>
        </w:tc>
        <w:tc>
          <w:tcPr>
            <w:tcW w:type="dxa" w:w="2880"/>
            <w:shd w:fill="FFFFFF"/>
            <w:tcMar>
              <w:top w:w="80" w:type="dxa"/>
              <w:bottom w:w="80" w:type="dxa"/>
              <w:left w:w="100" w:type="dxa"/>
              <w:right w:w="100" w:type="dxa"/>
            </w:tcMar>
          </w:tcPr>
          <w:p>
            <w:r>
              <w:rPr>
                <w:sz w:val="17"/>
              </w:rPr>
              <w:t>Check Survey, Tower Spotting Schedule, Profile Drawings, CRS Sheets</w:t>
            </w:r>
          </w:p>
        </w:tc>
      </w:tr>
      <w:tr>
        <w:tc>
          <w:tcPr>
            <w:tcW w:type="dxa" w:w="576"/>
            <w:shd w:fill="F8FAFC"/>
            <w:tcMar>
              <w:top w:w="80" w:type="dxa"/>
              <w:bottom w:w="80" w:type="dxa"/>
              <w:left w:w="100" w:type="dxa"/>
              <w:right w:w="100" w:type="dxa"/>
            </w:tcMar>
          </w:tcPr>
          <w:p>
            <w:r>
              <w:rPr>
                <w:b/>
                <w:sz w:val="17"/>
              </w:rPr>
              <w:t>6</w:t>
            </w:r>
          </w:p>
        </w:tc>
        <w:tc>
          <w:tcPr>
            <w:tcW w:type="dxa" w:w="2304"/>
            <w:shd w:fill="F8FAFC"/>
            <w:tcMar>
              <w:top w:w="80" w:type="dxa"/>
              <w:bottom w:w="80" w:type="dxa"/>
              <w:left w:w="100" w:type="dxa"/>
              <w:right w:w="100" w:type="dxa"/>
            </w:tcMar>
          </w:tcPr>
          <w:p>
            <w:r>
              <w:rPr>
                <w:b/>
                <w:color w:val="1E293B"/>
                <w:sz w:val="17"/>
              </w:rPr>
              <w:t>SCM &amp; Procurement Manager</w:t>
            </w:r>
          </w:p>
        </w:tc>
        <w:tc>
          <w:tcPr>
            <w:tcW w:type="dxa" w:w="2016"/>
            <w:shd w:fill="F8FAFC"/>
            <w:tcMar>
              <w:top w:w="80" w:type="dxa"/>
              <w:bottom w:w="80" w:type="dxa"/>
              <w:left w:w="100" w:type="dxa"/>
              <w:right w:w="100" w:type="dxa"/>
            </w:tcMar>
          </w:tcPr>
          <w:p>
            <w:r>
              <w:rPr>
                <w:sz w:val="17"/>
              </w:rPr>
              <w:t>Ravi Tiwari / Shuv Sarkar</w:t>
            </w:r>
          </w:p>
        </w:tc>
        <w:tc>
          <w:tcPr>
            <w:tcW w:type="dxa" w:w="2304"/>
            <w:shd w:fill="F8FAFC"/>
            <w:tcMar>
              <w:top w:w="80" w:type="dxa"/>
              <w:bottom w:w="80" w:type="dxa"/>
              <w:left w:w="100" w:type="dxa"/>
              <w:right w:w="100" w:type="dxa"/>
            </w:tcMar>
          </w:tcPr>
          <w:p>
            <w:r>
              <w:rPr>
                <w:sz w:val="17"/>
              </w:rPr>
              <w:t>/golden-period/manufacturing-clearance</w:t>
            </w:r>
          </w:p>
        </w:tc>
        <w:tc>
          <w:tcPr>
            <w:tcW w:type="dxa" w:w="2880"/>
            <w:shd w:fill="F8FAFC"/>
            <w:tcMar>
              <w:top w:w="80" w:type="dxa"/>
              <w:bottom w:w="80" w:type="dxa"/>
              <w:left w:w="100" w:type="dxa"/>
              <w:right w:w="100" w:type="dxa"/>
            </w:tcMar>
          </w:tcPr>
          <w:p>
            <w:r>
              <w:rPr>
                <w:sz w:val="17"/>
              </w:rPr>
              <w:t>Internal Plant LOI (Conductor), Buyout POs (Stubs, Towers, HW), Inspection Calls</w:t>
            </w:r>
          </w:p>
        </w:tc>
      </w:tr>
      <w:tr>
        <w:tc>
          <w:tcPr>
            <w:tcW w:type="dxa" w:w="576"/>
            <w:shd w:fill="FFFFFF"/>
            <w:tcMar>
              <w:top w:w="80" w:type="dxa"/>
              <w:bottom w:w="80" w:type="dxa"/>
              <w:left w:w="100" w:type="dxa"/>
              <w:right w:w="100" w:type="dxa"/>
            </w:tcMar>
          </w:tcPr>
          <w:p>
            <w:r>
              <w:rPr>
                <w:b/>
                <w:sz w:val="17"/>
              </w:rPr>
              <w:t>7</w:t>
            </w:r>
          </w:p>
        </w:tc>
        <w:tc>
          <w:tcPr>
            <w:tcW w:type="dxa" w:w="2304"/>
            <w:shd w:fill="FFFFFF"/>
            <w:tcMar>
              <w:top w:w="80" w:type="dxa"/>
              <w:bottom w:w="80" w:type="dxa"/>
              <w:left w:w="100" w:type="dxa"/>
              <w:right w:w="100" w:type="dxa"/>
            </w:tcMar>
          </w:tcPr>
          <w:p>
            <w:r>
              <w:rPr>
                <w:b/>
                <w:color w:val="1E293B"/>
                <w:sz w:val="17"/>
              </w:rPr>
              <w:t>Statutory &amp; Compliance Officer</w:t>
            </w:r>
          </w:p>
        </w:tc>
        <w:tc>
          <w:tcPr>
            <w:tcW w:type="dxa" w:w="2016"/>
            <w:shd w:fill="FFFFFF"/>
            <w:tcMar>
              <w:top w:w="80" w:type="dxa"/>
              <w:bottom w:w="80" w:type="dxa"/>
              <w:left w:w="100" w:type="dxa"/>
              <w:right w:w="100" w:type="dxa"/>
            </w:tcMar>
          </w:tcPr>
          <w:p>
            <w:r>
              <w:rPr>
                <w:sz w:val="17"/>
              </w:rPr>
              <w:t>Meera Pillai</w:t>
            </w:r>
          </w:p>
        </w:tc>
        <w:tc>
          <w:tcPr>
            <w:tcW w:type="dxa" w:w="2304"/>
            <w:shd w:fill="FFFFFF"/>
            <w:tcMar>
              <w:top w:w="80" w:type="dxa"/>
              <w:bottom w:w="80" w:type="dxa"/>
              <w:left w:w="100" w:type="dxa"/>
              <w:right w:w="100" w:type="dxa"/>
            </w:tcMar>
          </w:tcPr>
          <w:p>
            <w:r>
              <w:rPr>
                <w:sz w:val="17"/>
              </w:rPr>
              <w:t>/golden-period/statutory</w:t>
            </w:r>
          </w:p>
        </w:tc>
        <w:tc>
          <w:tcPr>
            <w:tcW w:type="dxa" w:w="2880"/>
            <w:shd w:fill="FFFFFF"/>
            <w:tcMar>
              <w:top w:w="80" w:type="dxa"/>
              <w:bottom w:w="80" w:type="dxa"/>
              <w:left w:w="100" w:type="dxa"/>
              <w:right w:w="100" w:type="dxa"/>
            </w:tcMar>
          </w:tcPr>
          <w:p>
            <w:r>
              <w:rPr>
                <w:sz w:val="17"/>
              </w:rPr>
              <w:t>Principal Employer Form V, CLRA Labour License, CEIG Electrical Approval</w:t>
            </w:r>
          </w:p>
        </w:tc>
      </w:tr>
      <w:tr>
        <w:tc>
          <w:tcPr>
            <w:tcW w:type="dxa" w:w="576"/>
            <w:shd w:fill="F8FAFC"/>
            <w:tcMar>
              <w:top w:w="80" w:type="dxa"/>
              <w:bottom w:w="80" w:type="dxa"/>
              <w:left w:w="100" w:type="dxa"/>
              <w:right w:w="100" w:type="dxa"/>
            </w:tcMar>
          </w:tcPr>
          <w:p>
            <w:r>
              <w:rPr>
                <w:b/>
                <w:sz w:val="17"/>
              </w:rPr>
              <w:t>8</w:t>
            </w:r>
          </w:p>
        </w:tc>
        <w:tc>
          <w:tcPr>
            <w:tcW w:type="dxa" w:w="2304"/>
            <w:shd w:fill="F8FAFC"/>
            <w:tcMar>
              <w:top w:w="80" w:type="dxa"/>
              <w:bottom w:w="80" w:type="dxa"/>
              <w:left w:w="100" w:type="dxa"/>
              <w:right w:w="100" w:type="dxa"/>
            </w:tcMar>
          </w:tcPr>
          <w:p>
            <w:r>
              <w:rPr>
                <w:b/>
                <w:color w:val="1E293B"/>
                <w:sz w:val="17"/>
              </w:rPr>
              <w:t>HSE &amp; Safety Officer</w:t>
            </w:r>
          </w:p>
        </w:tc>
        <w:tc>
          <w:tcPr>
            <w:tcW w:type="dxa" w:w="2016"/>
            <w:shd w:fill="F8FAFC"/>
            <w:tcMar>
              <w:top w:w="80" w:type="dxa"/>
              <w:bottom w:w="80" w:type="dxa"/>
              <w:left w:w="100" w:type="dxa"/>
              <w:right w:w="100" w:type="dxa"/>
            </w:tcMar>
          </w:tcPr>
          <w:p>
            <w:r>
              <w:rPr>
                <w:sz w:val="17"/>
              </w:rPr>
              <w:t>Anita Reddy</w:t>
            </w:r>
          </w:p>
        </w:tc>
        <w:tc>
          <w:tcPr>
            <w:tcW w:type="dxa" w:w="2304"/>
            <w:shd w:fill="F8FAFC"/>
            <w:tcMar>
              <w:top w:w="80" w:type="dxa"/>
              <w:bottom w:w="80" w:type="dxa"/>
              <w:left w:w="100" w:type="dxa"/>
              <w:right w:w="100" w:type="dxa"/>
            </w:tcMar>
          </w:tcPr>
          <w:p>
            <w:r>
              <w:rPr>
                <w:sz w:val="17"/>
              </w:rPr>
              <w:t>/golden-period/insurance, /safety</w:t>
            </w:r>
          </w:p>
        </w:tc>
        <w:tc>
          <w:tcPr>
            <w:tcW w:type="dxa" w:w="2880"/>
            <w:shd w:fill="F8FAFC"/>
            <w:tcMar>
              <w:top w:w="80" w:type="dxa"/>
              <w:bottom w:w="80" w:type="dxa"/>
              <w:left w:w="100" w:type="dxa"/>
              <w:right w:w="100" w:type="dxa"/>
            </w:tcMar>
          </w:tcPr>
          <w:p>
            <w:r>
              <w:rPr>
                <w:sz w:val="17"/>
              </w:rPr>
              <w:t>Workmen Compensation (WC), CAR Insurance, Toolbox Talks (TBT), Safety Audits</w:t>
            </w:r>
          </w:p>
        </w:tc>
      </w:tr>
      <w:tr>
        <w:tc>
          <w:tcPr>
            <w:tcW w:type="dxa" w:w="576"/>
            <w:shd w:fill="FFFFFF"/>
            <w:tcMar>
              <w:top w:w="80" w:type="dxa"/>
              <w:bottom w:w="80" w:type="dxa"/>
              <w:left w:w="100" w:type="dxa"/>
              <w:right w:w="100" w:type="dxa"/>
            </w:tcMar>
          </w:tcPr>
          <w:p>
            <w:r>
              <w:rPr>
                <w:b/>
                <w:sz w:val="17"/>
              </w:rPr>
              <w:t>9</w:t>
            </w:r>
          </w:p>
        </w:tc>
        <w:tc>
          <w:tcPr>
            <w:tcW w:type="dxa" w:w="2304"/>
            <w:shd w:fill="FFFFFF"/>
            <w:tcMar>
              <w:top w:w="80" w:type="dxa"/>
              <w:bottom w:w="80" w:type="dxa"/>
              <w:left w:w="100" w:type="dxa"/>
              <w:right w:w="100" w:type="dxa"/>
            </w:tcMar>
          </w:tcPr>
          <w:p>
            <w:r>
              <w:rPr>
                <w:b/>
                <w:color w:val="1E293B"/>
                <w:sz w:val="17"/>
              </w:rPr>
              <w:t>QA/QC Inspector</w:t>
            </w:r>
          </w:p>
        </w:tc>
        <w:tc>
          <w:tcPr>
            <w:tcW w:type="dxa" w:w="2016"/>
            <w:shd w:fill="FFFFFF"/>
            <w:tcMar>
              <w:top w:w="80" w:type="dxa"/>
              <w:bottom w:w="80" w:type="dxa"/>
              <w:left w:w="100" w:type="dxa"/>
              <w:right w:w="100" w:type="dxa"/>
            </w:tcMar>
          </w:tcPr>
          <w:p>
            <w:r>
              <w:rPr>
                <w:sz w:val="17"/>
              </w:rPr>
              <w:t>Deepa Nair</w:t>
            </w:r>
          </w:p>
        </w:tc>
        <w:tc>
          <w:tcPr>
            <w:tcW w:type="dxa" w:w="2304"/>
            <w:shd w:fill="FFFFFF"/>
            <w:tcMar>
              <w:top w:w="80" w:type="dxa"/>
              <w:bottom w:w="80" w:type="dxa"/>
              <w:left w:w="100" w:type="dxa"/>
              <w:right w:w="100" w:type="dxa"/>
            </w:tcMar>
          </w:tcPr>
          <w:p>
            <w:r>
              <w:rPr>
                <w:sz w:val="17"/>
              </w:rPr>
              <w:t>/qa-qc/inspections, /qa-qc/ncr</w:t>
            </w:r>
          </w:p>
        </w:tc>
        <w:tc>
          <w:tcPr>
            <w:tcW w:type="dxa" w:w="2880"/>
            <w:shd w:fill="FFFFFF"/>
            <w:tcMar>
              <w:top w:w="80" w:type="dxa"/>
              <w:bottom w:w="80" w:type="dxa"/>
              <w:left w:w="100" w:type="dxa"/>
              <w:right w:w="100" w:type="dxa"/>
            </w:tcMar>
          </w:tcPr>
          <w:p>
            <w:r>
              <w:rPr>
                <w:sz w:val="17"/>
              </w:rPr>
              <w:t>Factory Acceptance Test (FAT) Reports, MTC Certificates, NCR Quality Logs</w:t>
            </w:r>
          </w:p>
        </w:tc>
      </w:tr>
      <w:tr>
        <w:tc>
          <w:tcPr>
            <w:tcW w:type="dxa" w:w="576"/>
            <w:shd w:fill="F8FAFC"/>
            <w:tcMar>
              <w:top w:w="80" w:type="dxa"/>
              <w:bottom w:w="80" w:type="dxa"/>
              <w:left w:w="100" w:type="dxa"/>
              <w:right w:w="100" w:type="dxa"/>
            </w:tcMar>
          </w:tcPr>
          <w:p>
            <w:r>
              <w:rPr>
                <w:b/>
                <w:sz w:val="17"/>
              </w:rPr>
              <w:t>10</w:t>
            </w:r>
          </w:p>
        </w:tc>
        <w:tc>
          <w:tcPr>
            <w:tcW w:type="dxa" w:w="2304"/>
            <w:shd w:fill="F8FAFC"/>
            <w:tcMar>
              <w:top w:w="80" w:type="dxa"/>
              <w:bottom w:w="80" w:type="dxa"/>
              <w:left w:w="100" w:type="dxa"/>
              <w:right w:w="100" w:type="dxa"/>
            </w:tcMar>
          </w:tcPr>
          <w:p>
            <w:r>
              <w:rPr>
                <w:b/>
                <w:color w:val="1E293B"/>
                <w:sz w:val="17"/>
              </w:rPr>
              <w:t>Store / Inventory Controller</w:t>
            </w:r>
          </w:p>
        </w:tc>
        <w:tc>
          <w:tcPr>
            <w:tcW w:type="dxa" w:w="2016"/>
            <w:shd w:fill="F8FAFC"/>
            <w:tcMar>
              <w:top w:w="80" w:type="dxa"/>
              <w:bottom w:w="80" w:type="dxa"/>
              <w:left w:w="100" w:type="dxa"/>
              <w:right w:w="100" w:type="dxa"/>
            </w:tcMar>
          </w:tcPr>
          <w:p>
            <w:r>
              <w:rPr>
                <w:sz w:val="17"/>
              </w:rPr>
              <w:t>Manoj Desai</w:t>
            </w:r>
          </w:p>
        </w:tc>
        <w:tc>
          <w:tcPr>
            <w:tcW w:type="dxa" w:w="2304"/>
            <w:shd w:fill="F8FAFC"/>
            <w:tcMar>
              <w:top w:w="80" w:type="dxa"/>
              <w:bottom w:w="80" w:type="dxa"/>
              <w:left w:w="100" w:type="dxa"/>
              <w:right w:w="100" w:type="dxa"/>
            </w:tcMar>
          </w:tcPr>
          <w:p>
            <w:r>
              <w:rPr>
                <w:sz w:val="17"/>
              </w:rPr>
              <w:t>/golden-period/stores, /inventory</w:t>
            </w:r>
          </w:p>
        </w:tc>
        <w:tc>
          <w:tcPr>
            <w:tcW w:type="dxa" w:w="2880"/>
            <w:shd w:fill="F8FAFC"/>
            <w:tcMar>
              <w:top w:w="80" w:type="dxa"/>
              <w:bottom w:w="80" w:type="dxa"/>
              <w:left w:w="100" w:type="dxa"/>
              <w:right w:w="100" w:type="dxa"/>
            </w:tcMar>
          </w:tcPr>
          <w:p>
            <w:r>
              <w:rPr>
                <w:sz w:val="17"/>
              </w:rPr>
              <w:t>Site Store Readiness Certificate, Material Receipt Notes (MRN), Issue Slips</w:t>
            </w:r>
          </w:p>
        </w:tc>
      </w:tr>
      <w:tr>
        <w:tc>
          <w:tcPr>
            <w:tcW w:type="dxa" w:w="576"/>
            <w:shd w:fill="FFFFFF"/>
            <w:tcMar>
              <w:top w:w="80" w:type="dxa"/>
              <w:bottom w:w="80" w:type="dxa"/>
              <w:left w:w="100" w:type="dxa"/>
              <w:right w:w="100" w:type="dxa"/>
            </w:tcMar>
          </w:tcPr>
          <w:p>
            <w:r>
              <w:rPr>
                <w:b/>
                <w:sz w:val="17"/>
              </w:rPr>
              <w:t>11</w:t>
            </w:r>
          </w:p>
        </w:tc>
        <w:tc>
          <w:tcPr>
            <w:tcW w:type="dxa" w:w="2304"/>
            <w:shd w:fill="FFFFFF"/>
            <w:tcMar>
              <w:top w:w="80" w:type="dxa"/>
              <w:bottom w:w="80" w:type="dxa"/>
              <w:left w:w="100" w:type="dxa"/>
              <w:right w:w="100" w:type="dxa"/>
            </w:tcMar>
          </w:tcPr>
          <w:p>
            <w:r>
              <w:rPr>
                <w:b/>
                <w:color w:val="1E293B"/>
                <w:sz w:val="17"/>
              </w:rPr>
              <w:t>Site Gang Supervisor</w:t>
            </w:r>
          </w:p>
        </w:tc>
        <w:tc>
          <w:tcPr>
            <w:tcW w:type="dxa" w:w="2016"/>
            <w:shd w:fill="FFFFFF"/>
            <w:tcMar>
              <w:top w:w="80" w:type="dxa"/>
              <w:bottom w:w="80" w:type="dxa"/>
              <w:left w:w="100" w:type="dxa"/>
              <w:right w:w="100" w:type="dxa"/>
            </w:tcMar>
          </w:tcPr>
          <w:p>
            <w:r>
              <w:rPr>
                <w:sz w:val="17"/>
              </w:rPr>
              <w:t>Suresh Yadav</w:t>
            </w:r>
          </w:p>
        </w:tc>
        <w:tc>
          <w:tcPr>
            <w:tcW w:type="dxa" w:w="2304"/>
            <w:shd w:fill="FFFFFF"/>
            <w:tcMar>
              <w:top w:w="80" w:type="dxa"/>
              <w:bottom w:w="80" w:type="dxa"/>
              <w:left w:w="100" w:type="dxa"/>
              <w:right w:w="100" w:type="dxa"/>
            </w:tcMar>
          </w:tcPr>
          <w:p>
            <w:r>
              <w:rPr>
                <w:sz w:val="17"/>
              </w:rPr>
              <w:t>/installation/dpr, /gangs</w:t>
            </w:r>
          </w:p>
        </w:tc>
        <w:tc>
          <w:tcPr>
            <w:tcW w:type="dxa" w:w="2880"/>
            <w:shd w:fill="FFFFFF"/>
            <w:tcMar>
              <w:top w:w="80" w:type="dxa"/>
              <w:bottom w:w="80" w:type="dxa"/>
              <w:left w:w="100" w:type="dxa"/>
              <w:right w:w="100" w:type="dxa"/>
            </w:tcMar>
          </w:tcPr>
          <w:p>
            <w:r>
              <w:rPr>
                <w:sz w:val="17"/>
              </w:rPr>
              <w:t>Daily Progress Reports (DPR #01), Stub Setting &amp; Leveling Logs, JMCs</w:t>
            </w:r>
          </w:p>
        </w:tc>
      </w:tr>
    </w:tbl>
    <w:p>
      <w:pPr>
        <w:pStyle w:val="Heading1"/>
        <w:spacing w:before="360" w:after="160"/>
      </w:pPr>
      <w:r>
        <w:rPr>
          <w:color w:val="0F172A"/>
          <w:sz w:val="26"/>
        </w:rPr>
        <w:t>2. Detailed Role-Wise Document &amp; Maintenance Breakdown</w:t>
      </w:r>
    </w:p>
    <w:p>
      <w:pPr>
        <w:pStyle w:val="Heading2"/>
        <w:spacing w:before="280" w:after="80"/>
      </w:pPr>
      <w:r>
        <w:rPr>
          <w:color w:val="2563EB"/>
          <w:sz w:val="23"/>
        </w:rPr>
        <w:t>1. Bid &amp; Marketing Manager</w:t>
      </w:r>
    </w:p>
    <w:p>
      <w:pPr>
        <w:spacing w:after="80"/>
      </w:pPr>
      <w:r>
        <w:rPr>
          <w:b/>
          <w:sz w:val="18"/>
        </w:rPr>
        <w:t xml:space="preserve">Assigned Persona: </w:t>
      </w:r>
      <w:r>
        <w:rPr>
          <w:sz w:val="18"/>
        </w:rPr>
        <w:t xml:space="preserve">Amit Patel (Head - Tendering &amp; Bids)  |  </w:t>
      </w:r>
      <w:r>
        <w:rPr>
          <w:b/>
          <w:sz w:val="18"/>
        </w:rPr>
        <w:t xml:space="preserve">Module Route: </w:t>
      </w:r>
      <w:r>
        <w:rPr>
          <w:color w:val="475569"/>
          <w:sz w:val="18"/>
        </w:rPr>
        <w:t>/contracts, /golden-period/dispatches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DOC-01</w:t>
            </w:r>
          </w:p>
        </w:tc>
        <w:tc>
          <w:tcPr>
            <w:tcW w:type="dxa" w:w="2592"/>
            <w:shd w:fill="FFFFFF"/>
            <w:tcMar>
              <w:top w:w="60" w:type="dxa"/>
              <w:bottom w:w="60" w:type="dxa"/>
              <w:left w:w="80" w:type="dxa"/>
              <w:right w:w="80" w:type="dxa"/>
            </w:tcMar>
          </w:tcPr>
          <w:p>
            <w:r>
              <w:rPr>
                <w:b/>
                <w:color w:val="1E293B"/>
                <w:sz w:val="16"/>
              </w:rPr>
              <w:t>Letter of Award (LOA)</w:t>
            </w:r>
          </w:p>
        </w:tc>
        <w:tc>
          <w:tcPr>
            <w:tcW w:type="dxa" w:w="1152"/>
            <w:shd w:fill="FFFFFF"/>
            <w:tcMar>
              <w:top w:w="60" w:type="dxa"/>
              <w:bottom w:w="60" w:type="dxa"/>
              <w:left w:w="80" w:type="dxa"/>
              <w:right w:w="80" w:type="dxa"/>
            </w:tcMar>
          </w:tcPr>
          <w:p>
            <w:r>
              <w:rPr>
                <w:sz w:val="16"/>
              </w:rPr>
              <w:t>Day 1</w:t>
            </w:r>
          </w:p>
        </w:tc>
        <w:tc>
          <w:tcPr>
            <w:tcW w:type="dxa" w:w="2592"/>
            <w:shd w:fill="FFFFFF"/>
            <w:tcMar>
              <w:top w:w="60" w:type="dxa"/>
              <w:bottom w:w="60" w:type="dxa"/>
              <w:left w:w="80" w:type="dxa"/>
              <w:right w:w="80" w:type="dxa"/>
            </w:tcMar>
          </w:tcPr>
          <w:p>
            <w:r>
              <w:rPr>
                <w:sz w:val="16"/>
              </w:rPr>
              <w:t>L1 Bid Opening &amp; Commercial Declaration</w:t>
            </w:r>
          </w:p>
        </w:tc>
        <w:tc>
          <w:tcPr>
            <w:tcW w:type="dxa" w:w="2880"/>
            <w:shd w:fill="FFFFFF"/>
            <w:tcMar>
              <w:top w:w="60" w:type="dxa"/>
              <w:bottom w:w="60" w:type="dxa"/>
              <w:left w:w="80" w:type="dxa"/>
              <w:right w:w="80" w:type="dxa"/>
            </w:tcMar>
          </w:tcPr>
          <w:p>
            <w:r>
              <w:rPr>
                <w:sz w:val="16"/>
              </w:rPr>
              <w:t>Initializes Project container, starts 60-Day countdown, unlocks CPBG &amp; contract drafting</w:t>
            </w:r>
          </w:p>
        </w:tc>
      </w:tr>
      <w:tr>
        <w:tc>
          <w:tcPr>
            <w:tcW w:type="dxa" w:w="1152"/>
            <w:shd w:fill="F8FAFC"/>
            <w:tcMar>
              <w:top w:w="60" w:type="dxa"/>
              <w:bottom w:w="60" w:type="dxa"/>
              <w:left w:w="80" w:type="dxa"/>
              <w:right w:w="80" w:type="dxa"/>
            </w:tcMar>
          </w:tcPr>
          <w:p>
            <w:r>
              <w:rPr>
                <w:b/>
                <w:sz w:val="16"/>
              </w:rPr>
              <w:t>DOC-11</w:t>
            </w:r>
          </w:p>
        </w:tc>
        <w:tc>
          <w:tcPr>
            <w:tcW w:type="dxa" w:w="2592"/>
            <w:shd w:fill="F8FAFC"/>
            <w:tcMar>
              <w:top w:w="60" w:type="dxa"/>
              <w:bottom w:w="60" w:type="dxa"/>
              <w:left w:w="80" w:type="dxa"/>
              <w:right w:w="80" w:type="dxa"/>
            </w:tcMar>
          </w:tcPr>
          <w:p>
            <w:r>
              <w:rPr>
                <w:b/>
                <w:color w:val="1E293B"/>
                <w:sz w:val="16"/>
              </w:rPr>
              <w:t>Utility Inspector Nomination</w:t>
            </w:r>
          </w:p>
        </w:tc>
        <w:tc>
          <w:tcPr>
            <w:tcW w:type="dxa" w:w="1152"/>
            <w:shd w:fill="F8FAFC"/>
            <w:tcMar>
              <w:top w:w="60" w:type="dxa"/>
              <w:bottom w:w="60" w:type="dxa"/>
              <w:left w:w="80" w:type="dxa"/>
              <w:right w:w="80" w:type="dxa"/>
            </w:tcMar>
          </w:tcPr>
          <w:p>
            <w:r>
              <w:rPr>
                <w:sz w:val="16"/>
              </w:rPr>
              <w:t>Day 30</w:t>
            </w:r>
          </w:p>
        </w:tc>
        <w:tc>
          <w:tcPr>
            <w:tcW w:type="dxa" w:w="2592"/>
            <w:shd w:fill="F8FAFC"/>
            <w:tcMar>
              <w:top w:w="60" w:type="dxa"/>
              <w:bottom w:w="60" w:type="dxa"/>
              <w:left w:w="80" w:type="dxa"/>
              <w:right w:w="80" w:type="dxa"/>
            </w:tcMar>
          </w:tcPr>
          <w:p>
            <w:r>
              <w:rPr>
                <w:sz w:val="16"/>
              </w:rPr>
              <w:t>Inspection Call notice raised by SCM</w:t>
            </w:r>
          </w:p>
        </w:tc>
        <w:tc>
          <w:tcPr>
            <w:tcW w:type="dxa" w:w="2880"/>
            <w:shd w:fill="F8FAFC"/>
            <w:tcMar>
              <w:top w:w="60" w:type="dxa"/>
              <w:bottom w:w="60" w:type="dxa"/>
              <w:left w:w="80" w:type="dxa"/>
              <w:right w:w="80" w:type="dxa"/>
            </w:tcMar>
          </w:tcPr>
          <w:p>
            <w:r>
              <w:rPr>
                <w:sz w:val="16"/>
              </w:rPr>
              <w:t>Fixes joint factory FAT date with Client Inspecting Officer</w:t>
            </w:r>
          </w:p>
        </w:tc>
      </w:tr>
      <w:tr>
        <w:tc>
          <w:tcPr>
            <w:tcW w:type="dxa" w:w="1152"/>
            <w:shd w:fill="FFFFFF"/>
            <w:tcMar>
              <w:top w:w="60" w:type="dxa"/>
              <w:bottom w:w="60" w:type="dxa"/>
              <w:left w:w="80" w:type="dxa"/>
              <w:right w:w="80" w:type="dxa"/>
            </w:tcMar>
          </w:tcPr>
          <w:p>
            <w:r>
              <w:rPr>
                <w:b/>
                <w:sz w:val="16"/>
              </w:rPr>
              <w:t>DOC-13</w:t>
            </w:r>
          </w:p>
        </w:tc>
        <w:tc>
          <w:tcPr>
            <w:tcW w:type="dxa" w:w="2592"/>
            <w:shd w:fill="FFFFFF"/>
            <w:tcMar>
              <w:top w:w="60" w:type="dxa"/>
              <w:bottom w:w="60" w:type="dxa"/>
              <w:left w:w="80" w:type="dxa"/>
              <w:right w:w="80" w:type="dxa"/>
            </w:tcMar>
          </w:tcPr>
          <w:p>
            <w:r>
              <w:rPr>
                <w:b/>
                <w:color w:val="1E293B"/>
                <w:sz w:val="16"/>
              </w:rPr>
              <w:t>Utility Dispatch Instruction (DI)</w:t>
            </w:r>
          </w:p>
        </w:tc>
        <w:tc>
          <w:tcPr>
            <w:tcW w:type="dxa" w:w="1152"/>
            <w:shd w:fill="FFFFFF"/>
            <w:tcMar>
              <w:top w:w="60" w:type="dxa"/>
              <w:bottom w:w="60" w:type="dxa"/>
              <w:left w:w="80" w:type="dxa"/>
              <w:right w:w="80" w:type="dxa"/>
            </w:tcMar>
          </w:tcPr>
          <w:p>
            <w:r>
              <w:rPr>
                <w:sz w:val="16"/>
              </w:rPr>
              <w:t>Day 48</w:t>
            </w:r>
          </w:p>
        </w:tc>
        <w:tc>
          <w:tcPr>
            <w:tcW w:type="dxa" w:w="2592"/>
            <w:shd w:fill="FFFFFF"/>
            <w:tcMar>
              <w:top w:w="60" w:type="dxa"/>
              <w:bottom w:w="60" w:type="dxa"/>
              <w:left w:w="80" w:type="dxa"/>
              <w:right w:w="80" w:type="dxa"/>
            </w:tcMar>
          </w:tcPr>
          <w:p>
            <w:r>
              <w:rPr>
                <w:sz w:val="16"/>
              </w:rPr>
              <w:t>Signed FAT Report submitted to Client</w:t>
            </w:r>
          </w:p>
        </w:tc>
        <w:tc>
          <w:tcPr>
            <w:tcW w:type="dxa" w:w="2880"/>
            <w:shd w:fill="FFFFFF"/>
            <w:tcMar>
              <w:top w:w="60" w:type="dxa"/>
              <w:bottom w:w="60" w:type="dxa"/>
              <w:left w:w="80" w:type="dxa"/>
              <w:right w:w="80" w:type="dxa"/>
            </w:tcMar>
          </w:tcPr>
          <w:p>
            <w:r>
              <w:rPr>
                <w:sz w:val="16"/>
              </w:rPr>
              <w:t>CORE LOCK: Authorizes factory gates to dispatch trucks to central site store</w:t>
            </w:r>
          </w:p>
        </w:tc>
      </w:tr>
    </w:tbl>
    <w:p>
      <w:pPr>
        <w:spacing w:before="120" w:after="40"/>
      </w:pPr>
      <w:r>
        <w:rPr>
          <w:b/>
          <w:color w:val="1E293B"/>
          <w:sz w:val="17"/>
        </w:rPr>
        <w:t>Ongoing Maintenance &amp; System Audit Responsibilities:</w:t>
      </w:r>
    </w:p>
    <w:p>
      <w:pPr>
        <w:pStyle w:val="ListBullet"/>
        <w:spacing w:after="40"/>
      </w:pPr>
      <w:r>
        <w:rPr>
          <w:color w:val="1E293B"/>
          <w:sz w:val="16"/>
        </w:rPr>
        <w:t>Maintain active client communications and record official utility clarification letters.</w:t>
      </w:r>
    </w:p>
    <w:p>
      <w:pPr>
        <w:pStyle w:val="ListBullet"/>
        <w:spacing w:after="40"/>
      </w:pPr>
      <w:r>
        <w:rPr>
          <w:color w:val="1E293B"/>
          <w:sz w:val="16"/>
        </w:rPr>
        <w:t>Follow up with utility Chief Engineer for timely inspector nominations and DI release.</w:t>
      </w:r>
    </w:p>
    <w:p>
      <w:pPr>
        <w:pStyle w:val="ListBullet"/>
        <w:spacing w:after="40"/>
      </w:pPr>
      <w:r>
        <w:rPr>
          <w:color w:val="1E293B"/>
          <w:sz w:val="16"/>
        </w:rPr>
        <w:t>Reconcile authorized DI quantities against Mother BOQ items and factory packing lists.</w:t>
      </w:r>
    </w:p>
    <w:p>
      <w:pPr>
        <w:pStyle w:val="Heading2"/>
        <w:spacing w:before="280" w:after="80"/>
      </w:pPr>
      <w:r>
        <w:rPr>
          <w:color w:val="2563EB"/>
          <w:sz w:val="23"/>
        </w:rPr>
        <w:t>2. Contracts &amp; Legal Manager</w:t>
      </w:r>
    </w:p>
    <w:p>
      <w:pPr>
        <w:spacing w:after="80"/>
      </w:pPr>
      <w:r>
        <w:rPr>
          <w:b/>
          <w:sz w:val="18"/>
        </w:rPr>
        <w:t xml:space="preserve">Assigned Persona: </w:t>
      </w:r>
      <w:r>
        <w:rPr>
          <w:sz w:val="18"/>
        </w:rPr>
        <w:t xml:space="preserve">Rahul Mehta / Akash Dubey (Contracts &amp; Legal)  |  </w:t>
      </w:r>
      <w:r>
        <w:rPr>
          <w:b/>
          <w:sz w:val="18"/>
        </w:rPr>
        <w:t xml:space="preserve">Module Route: </w:t>
      </w:r>
      <w:r>
        <w:rPr>
          <w:color w:val="475569"/>
          <w:sz w:val="18"/>
        </w:rPr>
        <w:t>/contracts (Client BOQ Items Tab)</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DOC-03</w:t>
            </w:r>
          </w:p>
        </w:tc>
        <w:tc>
          <w:tcPr>
            <w:tcW w:type="dxa" w:w="2592"/>
            <w:shd w:fill="FFFFFF"/>
            <w:tcMar>
              <w:top w:w="60" w:type="dxa"/>
              <w:bottom w:w="60" w:type="dxa"/>
              <w:left w:w="80" w:type="dxa"/>
              <w:right w:w="80" w:type="dxa"/>
            </w:tcMar>
          </w:tcPr>
          <w:p>
            <w:r>
              <w:rPr>
                <w:b/>
                <w:color w:val="1E293B"/>
                <w:sz w:val="16"/>
              </w:rPr>
              <w:t>Signed Contract &amp; Mother BOQ</w:t>
            </w:r>
          </w:p>
        </w:tc>
        <w:tc>
          <w:tcPr>
            <w:tcW w:type="dxa" w:w="1152"/>
            <w:shd w:fill="FFFFFF"/>
            <w:tcMar>
              <w:top w:w="60" w:type="dxa"/>
              <w:bottom w:w="60" w:type="dxa"/>
              <w:left w:w="80" w:type="dxa"/>
              <w:right w:w="80" w:type="dxa"/>
            </w:tcMar>
          </w:tcPr>
          <w:p>
            <w:r>
              <w:rPr>
                <w:sz w:val="16"/>
              </w:rPr>
              <w:t>Day 10</w:t>
            </w:r>
          </w:p>
        </w:tc>
        <w:tc>
          <w:tcPr>
            <w:tcW w:type="dxa" w:w="2592"/>
            <w:shd w:fill="FFFFFF"/>
            <w:tcMar>
              <w:top w:w="60" w:type="dxa"/>
              <w:bottom w:w="60" w:type="dxa"/>
              <w:left w:w="80" w:type="dxa"/>
              <w:right w:w="80" w:type="dxa"/>
            </w:tcMar>
          </w:tcPr>
          <w:p>
            <w:r>
              <w:rPr>
                <w:sz w:val="16"/>
              </w:rPr>
              <w:t>LOA + Verified CPBG submission</w:t>
            </w:r>
          </w:p>
        </w:tc>
        <w:tc>
          <w:tcPr>
            <w:tcW w:type="dxa" w:w="2880"/>
            <w:shd w:fill="FFFFFF"/>
            <w:tcMar>
              <w:top w:w="60" w:type="dxa"/>
              <w:bottom w:w="60" w:type="dxa"/>
              <w:left w:w="80" w:type="dxa"/>
              <w:right w:w="80" w:type="dxa"/>
            </w:tcMar>
          </w:tcPr>
          <w:p>
            <w:r>
              <w:rPr>
                <w:sz w:val="16"/>
              </w:rPr>
              <w:t>CORE LOCK: Locks Mother BOQ in system; sets hard budget ceiling for all downstream POs</w:t>
            </w:r>
          </w:p>
        </w:tc>
      </w:tr>
      <w:tr>
        <w:tc>
          <w:tcPr>
            <w:tcW w:type="dxa" w:w="1152"/>
            <w:shd w:fill="F8FAFC"/>
            <w:tcMar>
              <w:top w:w="60" w:type="dxa"/>
              <w:bottom w:w="60" w:type="dxa"/>
              <w:left w:w="80" w:type="dxa"/>
              <w:right w:w="80" w:type="dxa"/>
            </w:tcMar>
          </w:tcPr>
          <w:p>
            <w:r>
              <w:rPr>
                <w:b/>
                <w:sz w:val="16"/>
              </w:rPr>
              <w:t>DOC-VAR</w:t>
            </w:r>
          </w:p>
        </w:tc>
        <w:tc>
          <w:tcPr>
            <w:tcW w:type="dxa" w:w="2592"/>
            <w:shd w:fill="F8FAFC"/>
            <w:tcMar>
              <w:top w:w="60" w:type="dxa"/>
              <w:bottom w:w="60" w:type="dxa"/>
              <w:left w:w="80" w:type="dxa"/>
              <w:right w:w="80" w:type="dxa"/>
            </w:tcMar>
          </w:tcPr>
          <w:p>
            <w:r>
              <w:rPr>
                <w:b/>
                <w:color w:val="1E293B"/>
                <w:sz w:val="16"/>
              </w:rPr>
              <w:t>Scope Amendments &amp; Variations</w:t>
            </w:r>
          </w:p>
        </w:tc>
        <w:tc>
          <w:tcPr>
            <w:tcW w:type="dxa" w:w="1152"/>
            <w:shd w:fill="F8FAFC"/>
            <w:tcMar>
              <w:top w:w="60" w:type="dxa"/>
              <w:bottom w:w="60" w:type="dxa"/>
              <w:left w:w="80" w:type="dxa"/>
              <w:right w:w="80" w:type="dxa"/>
            </w:tcMar>
          </w:tcPr>
          <w:p>
            <w:r>
              <w:rPr>
                <w:sz w:val="16"/>
              </w:rPr>
              <w:t>As needed</w:t>
            </w:r>
          </w:p>
        </w:tc>
        <w:tc>
          <w:tcPr>
            <w:tcW w:type="dxa" w:w="2592"/>
            <w:shd w:fill="F8FAFC"/>
            <w:tcMar>
              <w:top w:w="60" w:type="dxa"/>
              <w:bottom w:w="60" w:type="dxa"/>
              <w:left w:w="80" w:type="dxa"/>
              <w:right w:w="80" w:type="dxa"/>
            </w:tcMar>
          </w:tcPr>
          <w:p>
            <w:r>
              <w:rPr>
                <w:sz w:val="16"/>
              </w:rPr>
              <w:t>Client-approved scope/alignment variation</w:t>
            </w:r>
          </w:p>
        </w:tc>
        <w:tc>
          <w:tcPr>
            <w:tcW w:type="dxa" w:w="2880"/>
            <w:shd w:fill="F8FAFC"/>
            <w:tcMar>
              <w:top w:w="60" w:type="dxa"/>
              <w:bottom w:w="60" w:type="dxa"/>
              <w:left w:w="80" w:type="dxa"/>
              <w:right w:w="80" w:type="dxa"/>
            </w:tcMar>
          </w:tcPr>
          <w:p>
            <w:r>
              <w:rPr>
                <w:sz w:val="16"/>
              </w:rPr>
              <w:t>Updates contract item quantities, rates, and values dynamically</w:t>
            </w:r>
          </w:p>
        </w:tc>
      </w:tr>
    </w:tbl>
    <w:p>
      <w:pPr>
        <w:spacing w:before="120" w:after="40"/>
      </w:pPr>
      <w:r>
        <w:rPr>
          <w:b/>
          <w:color w:val="1E293B"/>
          <w:sz w:val="17"/>
        </w:rPr>
        <w:t>Ongoing Maintenance &amp; System Audit Responsibilities:</w:t>
      </w:r>
    </w:p>
    <w:p>
      <w:pPr>
        <w:pStyle w:val="ListBullet"/>
        <w:spacing w:after="40"/>
      </w:pPr>
      <w:r>
        <w:rPr>
          <w:color w:val="1E293B"/>
          <w:sz w:val="16"/>
        </w:rPr>
        <w:t>Reconcile cumulative internal LOIs and supplier POs against authorized Mother BOQ line balances.</w:t>
      </w:r>
    </w:p>
    <w:p>
      <w:pPr>
        <w:pStyle w:val="ListBullet"/>
        <w:spacing w:after="40"/>
      </w:pPr>
      <w:r>
        <w:rPr>
          <w:color w:val="1E293B"/>
          <w:sz w:val="16"/>
        </w:rPr>
        <w:t>Maintain contract clauses, LD waiver records, and price variation (PV) billing index formulas.</w:t>
      </w:r>
    </w:p>
    <w:p>
      <w:pPr>
        <w:pStyle w:val="Heading2"/>
        <w:spacing w:before="280" w:after="80"/>
      </w:pPr>
      <w:r>
        <w:rPr>
          <w:color w:val="2563EB"/>
          <w:sz w:val="23"/>
        </w:rPr>
        <w:t>3. Treasury &amp; Finance Manager</w:t>
      </w:r>
    </w:p>
    <w:p>
      <w:pPr>
        <w:spacing w:after="80"/>
      </w:pPr>
      <w:r>
        <w:rPr>
          <w:b/>
          <w:sz w:val="18"/>
        </w:rPr>
        <w:t xml:space="preserve">Assigned Persona: </w:t>
      </w:r>
      <w:r>
        <w:rPr>
          <w:sz w:val="18"/>
        </w:rPr>
        <w:t xml:space="preserve">Gaurav Chawla / Neha Gupta (Treasury &amp; Finance)  |  </w:t>
      </w:r>
      <w:r>
        <w:rPr>
          <w:b/>
          <w:sz w:val="18"/>
        </w:rPr>
        <w:t xml:space="preserve">Module Route: </w:t>
      </w:r>
      <w:r>
        <w:rPr>
          <w:color w:val="475569"/>
          <w:sz w:val="18"/>
        </w:rPr>
        <w:t>/golden-period/bank-guarantees, /finance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DOC-02</w:t>
            </w:r>
          </w:p>
        </w:tc>
        <w:tc>
          <w:tcPr>
            <w:tcW w:type="dxa" w:w="2592"/>
            <w:shd w:fill="FFFFFF"/>
            <w:tcMar>
              <w:top w:w="60" w:type="dxa"/>
              <w:bottom w:w="60" w:type="dxa"/>
              <w:left w:w="80" w:type="dxa"/>
              <w:right w:w="80" w:type="dxa"/>
            </w:tcMar>
          </w:tcPr>
          <w:p>
            <w:r>
              <w:rPr>
                <w:b/>
                <w:color w:val="1E293B"/>
                <w:sz w:val="16"/>
              </w:rPr>
              <w:t>Contract Performance BG (CPBG)</w:t>
            </w:r>
          </w:p>
        </w:tc>
        <w:tc>
          <w:tcPr>
            <w:tcW w:type="dxa" w:w="1152"/>
            <w:shd w:fill="FFFFFF"/>
            <w:tcMar>
              <w:top w:w="60" w:type="dxa"/>
              <w:bottom w:w="60" w:type="dxa"/>
              <w:left w:w="80" w:type="dxa"/>
              <w:right w:w="80" w:type="dxa"/>
            </w:tcMar>
          </w:tcPr>
          <w:p>
            <w:r>
              <w:rPr>
                <w:sz w:val="16"/>
              </w:rPr>
              <w:t>Day 7 (≤15d)</w:t>
            </w:r>
          </w:p>
        </w:tc>
        <w:tc>
          <w:tcPr>
            <w:tcW w:type="dxa" w:w="2592"/>
            <w:shd w:fill="FFFFFF"/>
            <w:tcMar>
              <w:top w:w="60" w:type="dxa"/>
              <w:bottom w:w="60" w:type="dxa"/>
              <w:left w:w="80" w:type="dxa"/>
              <w:right w:w="80" w:type="dxa"/>
            </w:tcMar>
          </w:tcPr>
          <w:p>
            <w:r>
              <w:rPr>
                <w:sz w:val="16"/>
              </w:rPr>
              <w:t>LOA terms &amp; Bank credit sanction limit</w:t>
            </w:r>
          </w:p>
        </w:tc>
        <w:tc>
          <w:tcPr>
            <w:tcW w:type="dxa" w:w="2880"/>
            <w:shd w:fill="FFFFFF"/>
            <w:tcMar>
              <w:top w:w="60" w:type="dxa"/>
              <w:bottom w:w="60" w:type="dxa"/>
              <w:left w:w="80" w:type="dxa"/>
              <w:right w:w="80" w:type="dxa"/>
            </w:tcMar>
          </w:tcPr>
          <w:p>
            <w:r>
              <w:rPr>
                <w:sz w:val="16"/>
              </w:rPr>
              <w:t>Unlocks formal Contract Agreement signing &amp; 10% Mobilization Advance claim</w:t>
            </w:r>
          </w:p>
        </w:tc>
      </w:tr>
      <w:tr>
        <w:tc>
          <w:tcPr>
            <w:tcW w:type="dxa" w:w="1152"/>
            <w:shd w:fill="F8FAFC"/>
            <w:tcMar>
              <w:top w:w="60" w:type="dxa"/>
              <w:bottom w:w="60" w:type="dxa"/>
              <w:left w:w="80" w:type="dxa"/>
              <w:right w:w="80" w:type="dxa"/>
            </w:tcMar>
          </w:tcPr>
          <w:p>
            <w:r>
              <w:rPr>
                <w:b/>
                <w:sz w:val="16"/>
              </w:rPr>
              <w:t>DOC-ABG</w:t>
            </w:r>
          </w:p>
        </w:tc>
        <w:tc>
          <w:tcPr>
            <w:tcW w:type="dxa" w:w="2592"/>
            <w:shd w:fill="F8FAFC"/>
            <w:tcMar>
              <w:top w:w="60" w:type="dxa"/>
              <w:bottom w:w="60" w:type="dxa"/>
              <w:left w:w="80" w:type="dxa"/>
              <w:right w:w="80" w:type="dxa"/>
            </w:tcMar>
          </w:tcPr>
          <w:p>
            <w:r>
              <w:rPr>
                <w:b/>
                <w:color w:val="1E293B"/>
                <w:sz w:val="16"/>
              </w:rPr>
              <w:t>Advance Payment BG (APBG)</w:t>
            </w:r>
          </w:p>
        </w:tc>
        <w:tc>
          <w:tcPr>
            <w:tcW w:type="dxa" w:w="1152"/>
            <w:shd w:fill="F8FAFC"/>
            <w:tcMar>
              <w:top w:w="60" w:type="dxa"/>
              <w:bottom w:w="60" w:type="dxa"/>
              <w:left w:w="80" w:type="dxa"/>
              <w:right w:w="80" w:type="dxa"/>
            </w:tcMar>
          </w:tcPr>
          <w:p>
            <w:r>
              <w:rPr>
                <w:sz w:val="16"/>
              </w:rPr>
              <w:t>Day 15</w:t>
            </w:r>
          </w:p>
        </w:tc>
        <w:tc>
          <w:tcPr>
            <w:tcW w:type="dxa" w:w="2592"/>
            <w:shd w:fill="F8FAFC"/>
            <w:tcMar>
              <w:top w:w="60" w:type="dxa"/>
              <w:bottom w:w="60" w:type="dxa"/>
              <w:left w:w="80" w:type="dxa"/>
              <w:right w:w="80" w:type="dxa"/>
            </w:tcMar>
          </w:tcPr>
          <w:p>
            <w:r>
              <w:rPr>
                <w:sz w:val="16"/>
              </w:rPr>
              <w:t>Contract mobilization advance clause</w:t>
            </w:r>
          </w:p>
        </w:tc>
        <w:tc>
          <w:tcPr>
            <w:tcW w:type="dxa" w:w="2880"/>
            <w:shd w:fill="F8FAFC"/>
            <w:tcMar>
              <w:top w:w="60" w:type="dxa"/>
              <w:bottom w:w="60" w:type="dxa"/>
              <w:left w:w="80" w:type="dxa"/>
              <w:right w:w="80" w:type="dxa"/>
            </w:tcMar>
          </w:tcPr>
          <w:p>
            <w:r>
              <w:rPr>
                <w:sz w:val="16"/>
              </w:rPr>
              <w:t>Enables release of mobilization advance from utility into project account</w:t>
            </w:r>
          </w:p>
        </w:tc>
      </w:tr>
    </w:tbl>
    <w:p>
      <w:pPr>
        <w:spacing w:before="120" w:after="40"/>
      </w:pPr>
      <w:r>
        <w:rPr>
          <w:b/>
          <w:color w:val="1E293B"/>
          <w:sz w:val="17"/>
        </w:rPr>
        <w:t>Ongoing Maintenance &amp; System Audit Responsibilities:</w:t>
      </w:r>
    </w:p>
    <w:p>
      <w:pPr>
        <w:pStyle w:val="ListBullet"/>
        <w:spacing w:after="40"/>
      </w:pPr>
      <w:r>
        <w:rPr>
          <w:color w:val="1E293B"/>
          <w:sz w:val="16"/>
        </w:rPr>
        <w:t>Monitor Bank Guarantee expiry dates, extension requirements, and 6-month claim periods.</w:t>
      </w:r>
    </w:p>
    <w:p>
      <w:pPr>
        <w:pStyle w:val="ListBullet"/>
        <w:spacing w:after="40"/>
      </w:pPr>
      <w:r>
        <w:rPr>
          <w:color w:val="1E293B"/>
          <w:sz w:val="16"/>
        </w:rPr>
        <w:t>Track progressive recovery of mobilization advance from monthly running account (RA) bills.</w:t>
      </w:r>
    </w:p>
    <w:p>
      <w:pPr>
        <w:pStyle w:val="Heading2"/>
        <w:spacing w:before="280" w:after="80"/>
      </w:pPr>
      <w:r>
        <w:rPr>
          <w:color w:val="2563EB"/>
          <w:sz w:val="23"/>
        </w:rPr>
        <w:t>4. Project Director &amp; Project Manager</w:t>
      </w:r>
    </w:p>
    <w:p>
      <w:pPr>
        <w:spacing w:after="80"/>
      </w:pPr>
      <w:r>
        <w:rPr>
          <w:b/>
          <w:sz w:val="18"/>
        </w:rPr>
        <w:t xml:space="preserve">Assigned Persona: </w:t>
      </w:r>
      <w:r>
        <w:rPr>
          <w:sz w:val="18"/>
        </w:rPr>
        <w:t xml:space="preserve">Sunil Verma (Project Director) / Priya Sharma (Project Manager)  |  </w:t>
      </w:r>
      <w:r>
        <w:rPr>
          <w:b/>
          <w:sz w:val="18"/>
        </w:rPr>
        <w:t xml:space="preserve">Module Route: </w:t>
      </w:r>
      <w:r>
        <w:rPr>
          <w:color w:val="475569"/>
          <w:sz w:val="18"/>
        </w:rPr>
        <w:t>/wbs, /golden-period</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DOC-04</w:t>
            </w:r>
          </w:p>
        </w:tc>
        <w:tc>
          <w:tcPr>
            <w:tcW w:type="dxa" w:w="2592"/>
            <w:shd w:fill="FFFFFF"/>
            <w:tcMar>
              <w:top w:w="60" w:type="dxa"/>
              <w:bottom w:w="60" w:type="dxa"/>
              <w:left w:w="80" w:type="dxa"/>
              <w:right w:w="80" w:type="dxa"/>
            </w:tcMar>
          </w:tcPr>
          <w:p>
            <w:r>
              <w:rPr>
                <w:b/>
                <w:color w:val="1E293B"/>
                <w:sz w:val="16"/>
              </w:rPr>
              <w:t>L2 Baseline WBS Schedule</w:t>
            </w:r>
          </w:p>
        </w:tc>
        <w:tc>
          <w:tcPr>
            <w:tcW w:type="dxa" w:w="1152"/>
            <w:shd w:fill="FFFFFF"/>
            <w:tcMar>
              <w:top w:w="60" w:type="dxa"/>
              <w:bottom w:w="60" w:type="dxa"/>
              <w:left w:w="80" w:type="dxa"/>
              <w:right w:w="80" w:type="dxa"/>
            </w:tcMar>
          </w:tcPr>
          <w:p>
            <w:r>
              <w:rPr>
                <w:sz w:val="16"/>
              </w:rPr>
              <w:t>Day 12</w:t>
            </w:r>
          </w:p>
        </w:tc>
        <w:tc>
          <w:tcPr>
            <w:tcW w:type="dxa" w:w="2592"/>
            <w:shd w:fill="FFFFFF"/>
            <w:tcMar>
              <w:top w:w="60" w:type="dxa"/>
              <w:bottom w:w="60" w:type="dxa"/>
              <w:left w:w="80" w:type="dxa"/>
              <w:right w:w="80" w:type="dxa"/>
            </w:tcMar>
          </w:tcPr>
          <w:p>
            <w:r>
              <w:rPr>
                <w:sz w:val="16"/>
              </w:rPr>
              <w:t>Contract milestones &amp; Mother BOQ</w:t>
            </w:r>
          </w:p>
        </w:tc>
        <w:tc>
          <w:tcPr>
            <w:tcW w:type="dxa" w:w="2880"/>
            <w:shd w:fill="FFFFFF"/>
            <w:tcMar>
              <w:top w:w="60" w:type="dxa"/>
              <w:bottom w:w="60" w:type="dxa"/>
              <w:left w:w="80" w:type="dxa"/>
              <w:right w:w="80" w:type="dxa"/>
            </w:tcMar>
          </w:tcPr>
          <w:p>
            <w:r>
              <w:rPr>
                <w:sz w:val="16"/>
              </w:rPr>
              <w:t>Establishes project critical path &amp; milestone tracking baselines</w:t>
            </w:r>
          </w:p>
        </w:tc>
      </w:tr>
      <w:tr>
        <w:tc>
          <w:tcPr>
            <w:tcW w:type="dxa" w:w="1152"/>
            <w:shd w:fill="F8FAFC"/>
            <w:tcMar>
              <w:top w:w="60" w:type="dxa"/>
              <w:bottom w:w="60" w:type="dxa"/>
              <w:left w:w="80" w:type="dxa"/>
              <w:right w:w="80" w:type="dxa"/>
            </w:tcMar>
          </w:tcPr>
          <w:p>
            <w:r>
              <w:rPr>
                <w:b/>
                <w:sz w:val="16"/>
              </w:rPr>
              <w:t>DOC-16A</w:t>
            </w:r>
          </w:p>
        </w:tc>
        <w:tc>
          <w:tcPr>
            <w:tcW w:type="dxa" w:w="2592"/>
            <w:shd w:fill="F8FAFC"/>
            <w:tcMar>
              <w:top w:w="60" w:type="dxa"/>
              <w:bottom w:w="60" w:type="dxa"/>
              <w:left w:w="80" w:type="dxa"/>
              <w:right w:w="80" w:type="dxa"/>
            </w:tcMar>
          </w:tcPr>
          <w:p>
            <w:r>
              <w:rPr>
                <w:b/>
                <w:color w:val="1E293B"/>
                <w:sz w:val="16"/>
              </w:rPr>
              <w:t>60-Day Golden Period Gate Sign-off</w:t>
            </w:r>
          </w:p>
        </w:tc>
        <w:tc>
          <w:tcPr>
            <w:tcW w:type="dxa" w:w="1152"/>
            <w:shd w:fill="F8FAFC"/>
            <w:tcMar>
              <w:top w:w="60" w:type="dxa"/>
              <w:bottom w:w="60" w:type="dxa"/>
              <w:left w:w="80" w:type="dxa"/>
              <w:right w:w="80" w:type="dxa"/>
            </w:tcMar>
          </w:tcPr>
          <w:p>
            <w:r>
              <w:rPr>
                <w:sz w:val="16"/>
              </w:rPr>
              <w:t>Day 60</w:t>
            </w:r>
          </w:p>
        </w:tc>
        <w:tc>
          <w:tcPr>
            <w:tcW w:type="dxa" w:w="2592"/>
            <w:shd w:fill="F8FAFC"/>
            <w:tcMar>
              <w:top w:w="60" w:type="dxa"/>
              <w:bottom w:w="60" w:type="dxa"/>
              <w:left w:w="80" w:type="dxa"/>
              <w:right w:w="80" w:type="dxa"/>
            </w:tcMar>
          </w:tcPr>
          <w:p>
            <w:r>
              <w:rPr>
                <w:sz w:val="16"/>
              </w:rPr>
              <w:t>Verification of all 15 prerequisites (100% green)</w:t>
            </w:r>
          </w:p>
        </w:tc>
        <w:tc>
          <w:tcPr>
            <w:tcW w:type="dxa" w:w="2880"/>
            <w:shd w:fill="F8FAFC"/>
            <w:tcMar>
              <w:top w:w="60" w:type="dxa"/>
              <w:bottom w:w="60" w:type="dxa"/>
              <w:left w:w="80" w:type="dxa"/>
              <w:right w:w="80" w:type="dxa"/>
            </w:tcMar>
          </w:tcPr>
          <w:p>
            <w:r>
              <w:rPr>
                <w:sz w:val="16"/>
              </w:rPr>
              <w:t>DAY 60 GATE: Formal authorization to commence excavation and stub setting</w:t>
            </w:r>
          </w:p>
        </w:tc>
      </w:tr>
    </w:tbl>
    <w:p>
      <w:pPr>
        <w:spacing w:before="120" w:after="40"/>
      </w:pPr>
      <w:r>
        <w:rPr>
          <w:b/>
          <w:color w:val="1E293B"/>
          <w:sz w:val="17"/>
        </w:rPr>
        <w:t>Ongoing Maintenance &amp; System Audit Responsibilities:</w:t>
      </w:r>
    </w:p>
    <w:p>
      <w:pPr>
        <w:pStyle w:val="ListBullet"/>
        <w:spacing w:after="40"/>
      </w:pPr>
      <w:r>
        <w:rPr>
          <w:color w:val="1E293B"/>
          <w:sz w:val="16"/>
        </w:rPr>
        <w:t>Conduct weekly physical vs. financial progress S-curve reviews.</w:t>
      </w:r>
    </w:p>
    <w:p>
      <w:pPr>
        <w:pStyle w:val="ListBullet"/>
        <w:spacing w:after="40"/>
      </w:pPr>
      <w:r>
        <w:rPr>
          <w:color w:val="1E293B"/>
          <w:sz w:val="16"/>
        </w:rPr>
        <w:t>Manage delay event logs, critical path shifts, and contractual Extension of Time (EOT) notices.</w:t>
      </w:r>
    </w:p>
    <w:p>
      <w:pPr>
        <w:pStyle w:val="Heading2"/>
        <w:spacing w:before="280" w:after="80"/>
      </w:pPr>
      <w:r>
        <w:rPr>
          <w:color w:val="2563EB"/>
          <w:sz w:val="23"/>
        </w:rPr>
        <w:t>5. Lead Design Engineer &amp; Survey Team</w:t>
      </w:r>
    </w:p>
    <w:p>
      <w:pPr>
        <w:spacing w:after="80"/>
      </w:pPr>
      <w:r>
        <w:rPr>
          <w:b/>
          <w:sz w:val="18"/>
        </w:rPr>
        <w:t xml:space="preserve">Assigned Persona: </w:t>
      </w:r>
      <w:r>
        <w:rPr>
          <w:sz w:val="18"/>
        </w:rPr>
        <w:t xml:space="preserve">Vikram Singh (Lead Design) / Arun Mishra (Lead Surveyor)  |  </w:t>
      </w:r>
      <w:r>
        <w:rPr>
          <w:b/>
          <w:sz w:val="18"/>
        </w:rPr>
        <w:t xml:space="preserve">Module Route: </w:t>
      </w:r>
      <w:r>
        <w:rPr>
          <w:color w:val="475569"/>
          <w:sz w:val="18"/>
        </w:rPr>
        <w:t>/site-surveys, /transmittals, /crs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DOC-05</w:t>
            </w:r>
          </w:p>
        </w:tc>
        <w:tc>
          <w:tcPr>
            <w:tcW w:type="dxa" w:w="2592"/>
            <w:shd w:fill="FFFFFF"/>
            <w:tcMar>
              <w:top w:w="60" w:type="dxa"/>
              <w:bottom w:w="60" w:type="dxa"/>
              <w:left w:w="80" w:type="dxa"/>
              <w:right w:w="80" w:type="dxa"/>
            </w:tcMar>
          </w:tcPr>
          <w:p>
            <w:r>
              <w:rPr>
                <w:b/>
                <w:color w:val="1E293B"/>
                <w:sz w:val="16"/>
              </w:rPr>
              <w:t>Check Survey &amp; Tower Spotting</w:t>
            </w:r>
          </w:p>
        </w:tc>
        <w:tc>
          <w:tcPr>
            <w:tcW w:type="dxa" w:w="1152"/>
            <w:shd w:fill="FFFFFF"/>
            <w:tcMar>
              <w:top w:w="60" w:type="dxa"/>
              <w:bottom w:w="60" w:type="dxa"/>
              <w:left w:w="80" w:type="dxa"/>
              <w:right w:w="80" w:type="dxa"/>
            </w:tcMar>
          </w:tcPr>
          <w:p>
            <w:r>
              <w:rPr>
                <w:sz w:val="16"/>
              </w:rPr>
              <w:t>Day 15-25</w:t>
            </w:r>
          </w:p>
        </w:tc>
        <w:tc>
          <w:tcPr>
            <w:tcW w:type="dxa" w:w="2592"/>
            <w:shd w:fill="FFFFFF"/>
            <w:tcMar>
              <w:top w:w="60" w:type="dxa"/>
              <w:bottom w:w="60" w:type="dxa"/>
              <w:left w:w="80" w:type="dxa"/>
              <w:right w:w="80" w:type="dxa"/>
            </w:tcMar>
          </w:tcPr>
          <w:p>
            <w:r>
              <w:rPr>
                <w:sz w:val="16"/>
              </w:rPr>
              <w:t>Walkover survey &amp; GPS corridor alignment</w:t>
            </w:r>
          </w:p>
        </w:tc>
        <w:tc>
          <w:tcPr>
            <w:tcW w:type="dxa" w:w="2880"/>
            <w:shd w:fill="FFFFFF"/>
            <w:tcMar>
              <w:top w:w="60" w:type="dxa"/>
              <w:bottom w:w="60" w:type="dxa"/>
              <w:left w:w="80" w:type="dxa"/>
              <w:right w:w="80" w:type="dxa"/>
            </w:tcMar>
          </w:tcPr>
          <w:p>
            <w:r>
              <w:rPr>
                <w:sz w:val="16"/>
              </w:rPr>
              <w:t>Freezes tower type BOM, stub lengths, and pit excavation coordinates</w:t>
            </w:r>
          </w:p>
        </w:tc>
      </w:tr>
      <w:tr>
        <w:tc>
          <w:tcPr>
            <w:tcW w:type="dxa" w:w="1152"/>
            <w:shd w:fill="F8FAFC"/>
            <w:tcMar>
              <w:top w:w="60" w:type="dxa"/>
              <w:bottom w:w="60" w:type="dxa"/>
              <w:left w:w="80" w:type="dxa"/>
              <w:right w:w="80" w:type="dxa"/>
            </w:tcMar>
          </w:tcPr>
          <w:p>
            <w:r>
              <w:rPr>
                <w:b/>
                <w:sz w:val="16"/>
              </w:rPr>
              <w:t>DOC-TR</w:t>
            </w:r>
          </w:p>
        </w:tc>
        <w:tc>
          <w:tcPr>
            <w:tcW w:type="dxa" w:w="2592"/>
            <w:shd w:fill="F8FAFC"/>
            <w:tcMar>
              <w:top w:w="60" w:type="dxa"/>
              <w:bottom w:w="60" w:type="dxa"/>
              <w:left w:w="80" w:type="dxa"/>
              <w:right w:w="80" w:type="dxa"/>
            </w:tcMar>
          </w:tcPr>
          <w:p>
            <w:r>
              <w:rPr>
                <w:b/>
                <w:color w:val="1E293B"/>
                <w:sz w:val="16"/>
              </w:rPr>
              <w:t>Drawing Transmittals (Rev 0 / A)</w:t>
            </w:r>
          </w:p>
        </w:tc>
        <w:tc>
          <w:tcPr>
            <w:tcW w:type="dxa" w:w="1152"/>
            <w:shd w:fill="F8FAFC"/>
            <w:tcMar>
              <w:top w:w="60" w:type="dxa"/>
              <w:bottom w:w="60" w:type="dxa"/>
              <w:left w:w="80" w:type="dxa"/>
              <w:right w:w="80" w:type="dxa"/>
            </w:tcMar>
          </w:tcPr>
          <w:p>
            <w:r>
              <w:rPr>
                <w:sz w:val="16"/>
              </w:rPr>
              <w:t>Continuous</w:t>
            </w:r>
          </w:p>
        </w:tc>
        <w:tc>
          <w:tcPr>
            <w:tcW w:type="dxa" w:w="2592"/>
            <w:shd w:fill="F8FAFC"/>
            <w:tcMar>
              <w:top w:w="60" w:type="dxa"/>
              <w:bottom w:w="60" w:type="dxa"/>
              <w:left w:w="80" w:type="dxa"/>
              <w:right w:w="80" w:type="dxa"/>
            </w:tcMar>
          </w:tcPr>
          <w:p>
            <w:r>
              <w:rPr>
                <w:sz w:val="16"/>
              </w:rPr>
              <w:t>Profile, foundation, and structural designs</w:t>
            </w:r>
          </w:p>
        </w:tc>
        <w:tc>
          <w:tcPr>
            <w:tcW w:type="dxa" w:w="2880"/>
            <w:shd w:fill="F8FAFC"/>
            <w:tcMar>
              <w:top w:w="60" w:type="dxa"/>
              <w:bottom w:w="60" w:type="dxa"/>
              <w:left w:w="80" w:type="dxa"/>
              <w:right w:w="80" w:type="dxa"/>
            </w:tcMar>
          </w:tcPr>
          <w:p>
            <w:r>
              <w:rPr>
                <w:sz w:val="16"/>
              </w:rPr>
              <w:t>Submits design deliverables to Client/PMC under document control numbering</w:t>
            </w:r>
          </w:p>
        </w:tc>
      </w:tr>
      <w:tr>
        <w:tc>
          <w:tcPr>
            <w:tcW w:type="dxa" w:w="1152"/>
            <w:shd w:fill="FFFFFF"/>
            <w:tcMar>
              <w:top w:w="60" w:type="dxa"/>
              <w:bottom w:w="60" w:type="dxa"/>
              <w:left w:w="80" w:type="dxa"/>
              <w:right w:w="80" w:type="dxa"/>
            </w:tcMar>
          </w:tcPr>
          <w:p>
            <w:r>
              <w:rPr>
                <w:b/>
                <w:sz w:val="16"/>
              </w:rPr>
              <w:t>DOC-CRS</w:t>
            </w:r>
          </w:p>
        </w:tc>
        <w:tc>
          <w:tcPr>
            <w:tcW w:type="dxa" w:w="2592"/>
            <w:shd w:fill="FFFFFF"/>
            <w:tcMar>
              <w:top w:w="60" w:type="dxa"/>
              <w:bottom w:w="60" w:type="dxa"/>
              <w:left w:w="80" w:type="dxa"/>
              <w:right w:w="80" w:type="dxa"/>
            </w:tcMar>
          </w:tcPr>
          <w:p>
            <w:r>
              <w:rPr>
                <w:b/>
                <w:color w:val="1E293B"/>
                <w:sz w:val="16"/>
              </w:rPr>
              <w:t>Comment Response Sheets (CRS)</w:t>
            </w:r>
          </w:p>
        </w:tc>
        <w:tc>
          <w:tcPr>
            <w:tcW w:type="dxa" w:w="1152"/>
            <w:shd w:fill="FFFFFF"/>
            <w:tcMar>
              <w:top w:w="60" w:type="dxa"/>
              <w:bottom w:w="60" w:type="dxa"/>
              <w:left w:w="80" w:type="dxa"/>
              <w:right w:w="80" w:type="dxa"/>
            </w:tcMar>
          </w:tcPr>
          <w:p>
            <w:r>
              <w:rPr>
                <w:sz w:val="16"/>
              </w:rPr>
              <w:t>≤7 days</w:t>
            </w:r>
          </w:p>
        </w:tc>
        <w:tc>
          <w:tcPr>
            <w:tcW w:type="dxa" w:w="2592"/>
            <w:shd w:fill="FFFFFF"/>
            <w:tcMar>
              <w:top w:w="60" w:type="dxa"/>
              <w:bottom w:w="60" w:type="dxa"/>
              <w:left w:w="80" w:type="dxa"/>
              <w:right w:w="80" w:type="dxa"/>
            </w:tcMar>
          </w:tcPr>
          <w:p>
            <w:r>
              <w:rPr>
                <w:sz w:val="16"/>
              </w:rPr>
              <w:t>Client review comments on drawings</w:t>
            </w:r>
          </w:p>
        </w:tc>
        <w:tc>
          <w:tcPr>
            <w:tcW w:type="dxa" w:w="2880"/>
            <w:shd w:fill="FFFFFF"/>
            <w:tcMar>
              <w:top w:w="60" w:type="dxa"/>
              <w:bottom w:w="60" w:type="dxa"/>
              <w:left w:w="80" w:type="dxa"/>
              <w:right w:w="80" w:type="dxa"/>
            </w:tcMar>
          </w:tcPr>
          <w:p>
            <w:r>
              <w:rPr>
                <w:sz w:val="16"/>
              </w:rPr>
              <w:t>Formally closes technical remarks to achieve Approved for Construction (AFC) status</w:t>
            </w:r>
          </w:p>
        </w:tc>
      </w:tr>
    </w:tbl>
    <w:p>
      <w:pPr>
        <w:spacing w:before="120" w:after="40"/>
      </w:pPr>
      <w:r>
        <w:rPr>
          <w:b/>
          <w:color w:val="1E293B"/>
          <w:sz w:val="17"/>
        </w:rPr>
        <w:t>Ongoing Maintenance &amp; System Audit Responsibilities:</w:t>
      </w:r>
    </w:p>
    <w:p>
      <w:pPr>
        <w:pStyle w:val="ListBullet"/>
        <w:spacing w:after="40"/>
      </w:pPr>
      <w:r>
        <w:rPr>
          <w:color w:val="1E293B"/>
          <w:sz w:val="16"/>
        </w:rPr>
        <w:t>Maintain Master Drawing Register (MDR) and revision history logs.</w:t>
      </w:r>
    </w:p>
    <w:p>
      <w:pPr>
        <w:pStyle w:val="ListBullet"/>
        <w:spacing w:after="40"/>
      </w:pPr>
      <w:r>
        <w:rPr>
          <w:color w:val="1E293B"/>
          <w:sz w:val="16"/>
        </w:rPr>
        <w:t>Revise tower spotting profiles and stub extensions upon encountering site terrain variations.</w:t>
      </w:r>
    </w:p>
    <w:p>
      <w:pPr>
        <w:pStyle w:val="Heading2"/>
        <w:spacing w:before="280" w:after="80"/>
      </w:pPr>
      <w:r>
        <w:rPr>
          <w:color w:val="2563EB"/>
          <w:sz w:val="23"/>
        </w:rPr>
        <w:t>6. SCM &amp; Procurement Manager</w:t>
      </w:r>
    </w:p>
    <w:p>
      <w:pPr>
        <w:spacing w:after="80"/>
      </w:pPr>
      <w:r>
        <w:rPr>
          <w:b/>
          <w:sz w:val="18"/>
        </w:rPr>
        <w:t xml:space="preserve">Assigned Persona: </w:t>
      </w:r>
      <w:r>
        <w:rPr>
          <w:sz w:val="18"/>
        </w:rPr>
        <w:t xml:space="preserve">Ravi Tiwari / Shuv Sarkar (SCM &amp; Procurement)  |  </w:t>
      </w:r>
      <w:r>
        <w:rPr>
          <w:b/>
          <w:sz w:val="18"/>
        </w:rPr>
        <w:t xml:space="preserve">Module Route: </w:t>
      </w:r>
      <w:r>
        <w:rPr>
          <w:color w:val="475569"/>
          <w:sz w:val="18"/>
        </w:rPr>
        <w:t>/golden-period/manufacturing-clearance, /golden-period/vendors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DOC-06</w:t>
            </w:r>
          </w:p>
        </w:tc>
        <w:tc>
          <w:tcPr>
            <w:tcW w:type="dxa" w:w="2592"/>
            <w:shd w:fill="FFFFFF"/>
            <w:tcMar>
              <w:top w:w="60" w:type="dxa"/>
              <w:bottom w:w="60" w:type="dxa"/>
              <w:left w:w="80" w:type="dxa"/>
              <w:right w:w="80" w:type="dxa"/>
            </w:tcMar>
          </w:tcPr>
          <w:p>
            <w:r>
              <w:rPr>
                <w:b/>
                <w:color w:val="1E293B"/>
                <w:sz w:val="16"/>
              </w:rPr>
              <w:t>Internal Plant LOI (Conductor)</w:t>
            </w:r>
          </w:p>
        </w:tc>
        <w:tc>
          <w:tcPr>
            <w:tcW w:type="dxa" w:w="1152"/>
            <w:shd w:fill="FFFFFF"/>
            <w:tcMar>
              <w:top w:w="60" w:type="dxa"/>
              <w:bottom w:w="60" w:type="dxa"/>
              <w:left w:w="80" w:type="dxa"/>
              <w:right w:w="80" w:type="dxa"/>
            </w:tcMar>
          </w:tcPr>
          <w:p>
            <w:r>
              <w:rPr>
                <w:sz w:val="16"/>
              </w:rPr>
              <w:t>Day 15</w:t>
            </w:r>
          </w:p>
        </w:tc>
        <w:tc>
          <w:tcPr>
            <w:tcW w:type="dxa" w:w="2592"/>
            <w:shd w:fill="FFFFFF"/>
            <w:tcMar>
              <w:top w:w="60" w:type="dxa"/>
              <w:bottom w:w="60" w:type="dxa"/>
              <w:left w:w="80" w:type="dxa"/>
              <w:right w:w="80" w:type="dxa"/>
            </w:tcMar>
          </w:tcPr>
          <w:p>
            <w:r>
              <w:rPr>
                <w:sz w:val="16"/>
              </w:rPr>
              <w:t>Locked Mother BOQ Item 01 (Conductor)</w:t>
            </w:r>
          </w:p>
        </w:tc>
        <w:tc>
          <w:tcPr>
            <w:tcW w:type="dxa" w:w="2880"/>
            <w:shd w:fill="FFFFFF"/>
            <w:tcMar>
              <w:top w:w="60" w:type="dxa"/>
              <w:bottom w:w="60" w:type="dxa"/>
              <w:left w:w="80" w:type="dxa"/>
              <w:right w:w="80" w:type="dxa"/>
            </w:tcMar>
          </w:tcPr>
          <w:p>
            <w:r>
              <w:rPr>
                <w:sz w:val="16"/>
              </w:rPr>
              <w:t>Reserves aluminium ingot allocation, wire rod rolling &amp; stranding plant slots</w:t>
            </w:r>
          </w:p>
        </w:tc>
      </w:tr>
      <w:tr>
        <w:tc>
          <w:tcPr>
            <w:tcW w:type="dxa" w:w="1152"/>
            <w:shd w:fill="F8FAFC"/>
            <w:tcMar>
              <w:top w:w="60" w:type="dxa"/>
              <w:bottom w:w="60" w:type="dxa"/>
              <w:left w:w="80" w:type="dxa"/>
              <w:right w:w="80" w:type="dxa"/>
            </w:tcMar>
          </w:tcPr>
          <w:p>
            <w:r>
              <w:rPr>
                <w:b/>
                <w:sz w:val="16"/>
              </w:rPr>
              <w:t>DOC-07</w:t>
            </w:r>
          </w:p>
        </w:tc>
        <w:tc>
          <w:tcPr>
            <w:tcW w:type="dxa" w:w="2592"/>
            <w:shd w:fill="F8FAFC"/>
            <w:tcMar>
              <w:top w:w="60" w:type="dxa"/>
              <w:bottom w:w="60" w:type="dxa"/>
              <w:left w:w="80" w:type="dxa"/>
              <w:right w:w="80" w:type="dxa"/>
            </w:tcMar>
          </w:tcPr>
          <w:p>
            <w:r>
              <w:rPr>
                <w:b/>
                <w:color w:val="1E293B"/>
                <w:sz w:val="16"/>
              </w:rPr>
              <w:t>Vendor Buyout POs (Stubs/Hardware)</w:t>
            </w:r>
          </w:p>
        </w:tc>
        <w:tc>
          <w:tcPr>
            <w:tcW w:type="dxa" w:w="1152"/>
            <w:shd w:fill="F8FAFC"/>
            <w:tcMar>
              <w:top w:w="60" w:type="dxa"/>
              <w:bottom w:w="60" w:type="dxa"/>
              <w:left w:w="80" w:type="dxa"/>
              <w:right w:w="80" w:type="dxa"/>
            </w:tcMar>
          </w:tcPr>
          <w:p>
            <w:r>
              <w:rPr>
                <w:sz w:val="16"/>
              </w:rPr>
              <w:t>Day 20</w:t>
            </w:r>
          </w:p>
        </w:tc>
        <w:tc>
          <w:tcPr>
            <w:tcW w:type="dxa" w:w="2592"/>
            <w:shd w:fill="F8FAFC"/>
            <w:tcMar>
              <w:top w:w="60" w:type="dxa"/>
              <w:bottom w:w="60" w:type="dxa"/>
              <w:left w:w="80" w:type="dxa"/>
              <w:right w:w="80" w:type="dxa"/>
            </w:tcMar>
          </w:tcPr>
          <w:p>
            <w:r>
              <w:rPr>
                <w:sz w:val="16"/>
              </w:rPr>
              <w:t>Approved vendor nomination &amp; BOQ validation</w:t>
            </w:r>
          </w:p>
        </w:tc>
        <w:tc>
          <w:tcPr>
            <w:tcW w:type="dxa" w:w="2880"/>
            <w:shd w:fill="F8FAFC"/>
            <w:tcMar>
              <w:top w:w="60" w:type="dxa"/>
              <w:bottom w:w="60" w:type="dxa"/>
              <w:left w:w="80" w:type="dxa"/>
              <w:right w:w="80" w:type="dxa"/>
            </w:tcMar>
          </w:tcPr>
          <w:p>
            <w:r>
              <w:rPr>
                <w:sz w:val="16"/>
              </w:rPr>
              <w:t>Authorizes factory fabrication of 240 stub sets and long-lead hardware</w:t>
            </w:r>
          </w:p>
        </w:tc>
      </w:tr>
      <w:tr>
        <w:tc>
          <w:tcPr>
            <w:tcW w:type="dxa" w:w="1152"/>
            <w:shd w:fill="FFFFFF"/>
            <w:tcMar>
              <w:top w:w="60" w:type="dxa"/>
              <w:bottom w:w="60" w:type="dxa"/>
              <w:left w:w="80" w:type="dxa"/>
              <w:right w:w="80" w:type="dxa"/>
            </w:tcMar>
          </w:tcPr>
          <w:p>
            <w:r>
              <w:rPr>
                <w:b/>
                <w:sz w:val="16"/>
              </w:rPr>
              <w:t>DOC-CALL</w:t>
            </w:r>
          </w:p>
        </w:tc>
        <w:tc>
          <w:tcPr>
            <w:tcW w:type="dxa" w:w="2592"/>
            <w:shd w:fill="FFFFFF"/>
            <w:tcMar>
              <w:top w:w="60" w:type="dxa"/>
              <w:bottom w:w="60" w:type="dxa"/>
              <w:left w:w="80" w:type="dxa"/>
              <w:right w:w="80" w:type="dxa"/>
            </w:tcMar>
          </w:tcPr>
          <w:p>
            <w:r>
              <w:rPr>
                <w:b/>
                <w:color w:val="1E293B"/>
                <w:sz w:val="16"/>
              </w:rPr>
              <w:t>Factory Inspection Call Notice</w:t>
            </w:r>
          </w:p>
        </w:tc>
        <w:tc>
          <w:tcPr>
            <w:tcW w:type="dxa" w:w="1152"/>
            <w:shd w:fill="FFFFFF"/>
            <w:tcMar>
              <w:top w:w="60" w:type="dxa"/>
              <w:bottom w:w="60" w:type="dxa"/>
              <w:left w:w="80" w:type="dxa"/>
              <w:right w:w="80" w:type="dxa"/>
            </w:tcMar>
          </w:tcPr>
          <w:p>
            <w:r>
              <w:rPr>
                <w:sz w:val="16"/>
              </w:rPr>
              <w:t>Lot ready</w:t>
            </w:r>
          </w:p>
        </w:tc>
        <w:tc>
          <w:tcPr>
            <w:tcW w:type="dxa" w:w="2592"/>
            <w:shd w:fill="FFFFFF"/>
            <w:tcMar>
              <w:top w:w="60" w:type="dxa"/>
              <w:bottom w:w="60" w:type="dxa"/>
              <w:left w:w="80" w:type="dxa"/>
              <w:right w:w="80" w:type="dxa"/>
            </w:tcMar>
          </w:tcPr>
          <w:p>
            <w:r>
              <w:rPr>
                <w:sz w:val="16"/>
              </w:rPr>
              <w:t>Vendor/Plant internal quality clearance</w:t>
            </w:r>
          </w:p>
        </w:tc>
        <w:tc>
          <w:tcPr>
            <w:tcW w:type="dxa" w:w="2880"/>
            <w:shd w:fill="FFFFFF"/>
            <w:tcMar>
              <w:top w:w="60" w:type="dxa"/>
              <w:bottom w:w="60" w:type="dxa"/>
              <w:left w:w="80" w:type="dxa"/>
              <w:right w:w="80" w:type="dxa"/>
            </w:tcMar>
          </w:tcPr>
          <w:p>
            <w:r>
              <w:rPr>
                <w:sz w:val="16"/>
              </w:rPr>
              <w:t>Triggers formal nomination of utility inspecting officer</w:t>
            </w:r>
          </w:p>
        </w:tc>
      </w:tr>
    </w:tbl>
    <w:p>
      <w:pPr>
        <w:spacing w:before="120" w:after="40"/>
      </w:pPr>
      <w:r>
        <w:rPr>
          <w:b/>
          <w:color w:val="1E293B"/>
          <w:sz w:val="17"/>
        </w:rPr>
        <w:t>Ongoing Maintenance &amp; System Audit Responsibilities:</w:t>
      </w:r>
    </w:p>
    <w:p>
      <w:pPr>
        <w:pStyle w:val="ListBullet"/>
        <w:spacing w:after="40"/>
      </w:pPr>
      <w:r>
        <w:rPr>
          <w:color w:val="1E293B"/>
          <w:sz w:val="16"/>
        </w:rPr>
        <w:t>Track vendor manufacturing progress, factory slot commitments, and delivery dispatch dates.</w:t>
      </w:r>
    </w:p>
    <w:p>
      <w:pPr>
        <w:pStyle w:val="ListBullet"/>
        <w:spacing w:after="40"/>
      </w:pPr>
      <w:r>
        <w:rPr>
          <w:color w:val="1E293B"/>
          <w:sz w:val="16"/>
        </w:rPr>
        <w:t>Ensure cumulative PO commitments do not breach authorized Mother BOQ line limits.</w:t>
      </w:r>
    </w:p>
    <w:p>
      <w:pPr>
        <w:pStyle w:val="Heading2"/>
        <w:spacing w:before="280" w:after="80"/>
      </w:pPr>
      <w:r>
        <w:rPr>
          <w:color w:val="2563EB"/>
          <w:sz w:val="23"/>
        </w:rPr>
        <w:t>7. Statutory &amp; Compliance Officer</w:t>
      </w:r>
    </w:p>
    <w:p>
      <w:pPr>
        <w:spacing w:after="80"/>
      </w:pPr>
      <w:r>
        <w:rPr>
          <w:b/>
          <w:sz w:val="18"/>
        </w:rPr>
        <w:t xml:space="preserve">Assigned Persona: </w:t>
      </w:r>
      <w:r>
        <w:rPr>
          <w:sz w:val="18"/>
        </w:rPr>
        <w:t xml:space="preserve">Meera Pillai (Compliance Officer)  |  </w:t>
      </w:r>
      <w:r>
        <w:rPr>
          <w:b/>
          <w:sz w:val="18"/>
        </w:rPr>
        <w:t xml:space="preserve">Module Route: </w:t>
      </w:r>
      <w:r>
        <w:rPr>
          <w:color w:val="475569"/>
          <w:sz w:val="18"/>
        </w:rPr>
        <w:t>/golden-period/statutory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DOC-08</w:t>
            </w:r>
          </w:p>
        </w:tc>
        <w:tc>
          <w:tcPr>
            <w:tcW w:type="dxa" w:w="2592"/>
            <w:shd w:fill="FFFFFF"/>
            <w:tcMar>
              <w:top w:w="60" w:type="dxa"/>
              <w:bottom w:w="60" w:type="dxa"/>
              <w:left w:w="80" w:type="dxa"/>
              <w:right w:w="80" w:type="dxa"/>
            </w:tcMar>
          </w:tcPr>
          <w:p>
            <w:r>
              <w:rPr>
                <w:b/>
                <w:color w:val="1E293B"/>
                <w:sz w:val="16"/>
              </w:rPr>
              <w:t>Principal Employer Form V</w:t>
            </w:r>
          </w:p>
        </w:tc>
        <w:tc>
          <w:tcPr>
            <w:tcW w:type="dxa" w:w="1152"/>
            <w:shd w:fill="FFFFFF"/>
            <w:tcMar>
              <w:top w:w="60" w:type="dxa"/>
              <w:bottom w:w="60" w:type="dxa"/>
              <w:left w:w="80" w:type="dxa"/>
              <w:right w:w="80" w:type="dxa"/>
            </w:tcMar>
          </w:tcPr>
          <w:p>
            <w:r>
              <w:rPr>
                <w:sz w:val="16"/>
              </w:rPr>
              <w:t>Day 20</w:t>
            </w:r>
          </w:p>
        </w:tc>
        <w:tc>
          <w:tcPr>
            <w:tcW w:type="dxa" w:w="2592"/>
            <w:shd w:fill="FFFFFF"/>
            <w:tcMar>
              <w:top w:w="60" w:type="dxa"/>
              <w:bottom w:w="60" w:type="dxa"/>
              <w:left w:w="80" w:type="dxa"/>
              <w:right w:w="80" w:type="dxa"/>
            </w:tcMar>
          </w:tcPr>
          <w:p>
            <w:r>
              <w:rPr>
                <w:sz w:val="16"/>
              </w:rPr>
              <w:t>Signed Contract with Utility (MSETCL)</w:t>
            </w:r>
          </w:p>
        </w:tc>
        <w:tc>
          <w:tcPr>
            <w:tcW w:type="dxa" w:w="2880"/>
            <w:shd w:fill="FFFFFF"/>
            <w:tcMar>
              <w:top w:w="60" w:type="dxa"/>
              <w:bottom w:w="60" w:type="dxa"/>
              <w:left w:w="80" w:type="dxa"/>
              <w:right w:w="80" w:type="dxa"/>
            </w:tcMar>
          </w:tcPr>
          <w:p>
            <w:r>
              <w:rPr>
                <w:sz w:val="16"/>
              </w:rPr>
              <w:t>Mandatory statutory prerequisite to file for State Labour Commissioner CLRA license</w:t>
            </w:r>
          </w:p>
        </w:tc>
      </w:tr>
      <w:tr>
        <w:tc>
          <w:tcPr>
            <w:tcW w:type="dxa" w:w="1152"/>
            <w:shd w:fill="F8FAFC"/>
            <w:tcMar>
              <w:top w:w="60" w:type="dxa"/>
              <w:bottom w:w="60" w:type="dxa"/>
              <w:left w:w="80" w:type="dxa"/>
              <w:right w:w="80" w:type="dxa"/>
            </w:tcMar>
          </w:tcPr>
          <w:p>
            <w:r>
              <w:rPr>
                <w:b/>
                <w:sz w:val="16"/>
              </w:rPr>
              <w:t>DOC-09A</w:t>
            </w:r>
          </w:p>
        </w:tc>
        <w:tc>
          <w:tcPr>
            <w:tcW w:type="dxa" w:w="2592"/>
            <w:shd w:fill="F8FAFC"/>
            <w:tcMar>
              <w:top w:w="60" w:type="dxa"/>
              <w:bottom w:w="60" w:type="dxa"/>
              <w:left w:w="80" w:type="dxa"/>
              <w:right w:w="80" w:type="dxa"/>
            </w:tcMar>
          </w:tcPr>
          <w:p>
            <w:r>
              <w:rPr>
                <w:b/>
                <w:color w:val="1E293B"/>
                <w:sz w:val="16"/>
              </w:rPr>
              <w:t>Labour License (CLRA)</w:t>
            </w:r>
          </w:p>
        </w:tc>
        <w:tc>
          <w:tcPr>
            <w:tcW w:type="dxa" w:w="1152"/>
            <w:shd w:fill="F8FAFC"/>
            <w:tcMar>
              <w:top w:w="60" w:type="dxa"/>
              <w:bottom w:w="60" w:type="dxa"/>
              <w:left w:w="80" w:type="dxa"/>
              <w:right w:w="80" w:type="dxa"/>
            </w:tcMar>
          </w:tcPr>
          <w:p>
            <w:r>
              <w:rPr>
                <w:sz w:val="16"/>
              </w:rPr>
              <w:t>Day 35</w:t>
            </w:r>
          </w:p>
        </w:tc>
        <w:tc>
          <w:tcPr>
            <w:tcW w:type="dxa" w:w="2592"/>
            <w:shd w:fill="F8FAFC"/>
            <w:tcMar>
              <w:top w:w="60" w:type="dxa"/>
              <w:bottom w:w="60" w:type="dxa"/>
              <w:left w:w="80" w:type="dxa"/>
              <w:right w:w="80" w:type="dxa"/>
            </w:tcMar>
          </w:tcPr>
          <w:p>
            <w:r>
              <w:rPr>
                <w:sz w:val="16"/>
              </w:rPr>
              <w:t>Form V certificate + valid WC &amp; CAR Insurance</w:t>
            </w:r>
          </w:p>
        </w:tc>
        <w:tc>
          <w:tcPr>
            <w:tcW w:type="dxa" w:w="2880"/>
            <w:shd w:fill="F8FAFC"/>
            <w:tcMar>
              <w:top w:w="60" w:type="dxa"/>
              <w:bottom w:w="60" w:type="dxa"/>
              <w:left w:w="80" w:type="dxa"/>
              <w:right w:w="80" w:type="dxa"/>
            </w:tcMar>
          </w:tcPr>
          <w:p>
            <w:r>
              <w:rPr>
                <w:sz w:val="16"/>
              </w:rPr>
              <w:t>STATUTORY GATE: Legal authorization to mobilize and deploy contract workmen on site</w:t>
            </w:r>
          </w:p>
        </w:tc>
      </w:tr>
      <w:tr>
        <w:tc>
          <w:tcPr>
            <w:tcW w:type="dxa" w:w="1152"/>
            <w:shd w:fill="FFFFFF"/>
            <w:tcMar>
              <w:top w:w="60" w:type="dxa"/>
              <w:bottom w:w="60" w:type="dxa"/>
              <w:left w:w="80" w:type="dxa"/>
              <w:right w:w="80" w:type="dxa"/>
            </w:tcMar>
          </w:tcPr>
          <w:p>
            <w:r>
              <w:rPr>
                <w:b/>
                <w:sz w:val="16"/>
              </w:rPr>
              <w:t>DOC-10</w:t>
            </w:r>
          </w:p>
        </w:tc>
        <w:tc>
          <w:tcPr>
            <w:tcW w:type="dxa" w:w="2592"/>
            <w:shd w:fill="FFFFFF"/>
            <w:tcMar>
              <w:top w:w="60" w:type="dxa"/>
              <w:bottom w:w="60" w:type="dxa"/>
              <w:left w:w="80" w:type="dxa"/>
              <w:right w:w="80" w:type="dxa"/>
            </w:tcMar>
          </w:tcPr>
          <w:p>
            <w:r>
              <w:rPr>
                <w:b/>
                <w:color w:val="1E293B"/>
                <w:sz w:val="16"/>
              </w:rPr>
              <w:t>CEIG Electrical Scheme Approval</w:t>
            </w:r>
          </w:p>
        </w:tc>
        <w:tc>
          <w:tcPr>
            <w:tcW w:type="dxa" w:w="1152"/>
            <w:shd w:fill="FFFFFF"/>
            <w:tcMar>
              <w:top w:w="60" w:type="dxa"/>
              <w:bottom w:w="60" w:type="dxa"/>
              <w:left w:w="80" w:type="dxa"/>
              <w:right w:w="80" w:type="dxa"/>
            </w:tcMar>
          </w:tcPr>
          <w:p>
            <w:r>
              <w:rPr>
                <w:sz w:val="16"/>
              </w:rPr>
              <w:t>Day 35</w:t>
            </w:r>
          </w:p>
        </w:tc>
        <w:tc>
          <w:tcPr>
            <w:tcW w:type="dxa" w:w="2592"/>
            <w:shd w:fill="FFFFFF"/>
            <w:tcMar>
              <w:top w:w="60" w:type="dxa"/>
              <w:bottom w:w="60" w:type="dxa"/>
              <w:left w:w="80" w:type="dxa"/>
              <w:right w:w="80" w:type="dxa"/>
            </w:tcMar>
          </w:tcPr>
          <w:p>
            <w:r>
              <w:rPr>
                <w:sz w:val="16"/>
              </w:rPr>
              <w:t>Class-A Electrical Contractor License &amp; SLD</w:t>
            </w:r>
          </w:p>
        </w:tc>
        <w:tc>
          <w:tcPr>
            <w:tcW w:type="dxa" w:w="2880"/>
            <w:shd w:fill="FFFFFF"/>
            <w:tcMar>
              <w:top w:w="60" w:type="dxa"/>
              <w:bottom w:w="60" w:type="dxa"/>
              <w:left w:w="80" w:type="dxa"/>
              <w:right w:w="80" w:type="dxa"/>
            </w:tcMar>
          </w:tcPr>
          <w:p>
            <w:r>
              <w:rPr>
                <w:sz w:val="16"/>
              </w:rPr>
              <w:t>STATUTORY GATE: Clearance to construct high-voltage lines and execute crossings</w:t>
            </w:r>
          </w:p>
        </w:tc>
      </w:tr>
    </w:tbl>
    <w:p>
      <w:pPr>
        <w:spacing w:before="120" w:after="40"/>
      </w:pPr>
      <w:r>
        <w:rPr>
          <w:b/>
          <w:color w:val="1E293B"/>
          <w:sz w:val="17"/>
        </w:rPr>
        <w:t>Ongoing Maintenance &amp; System Audit Responsibilities:</w:t>
      </w:r>
    </w:p>
    <w:p>
      <w:pPr>
        <w:pStyle w:val="ListBullet"/>
        <w:spacing w:after="40"/>
      </w:pPr>
      <w:r>
        <w:rPr>
          <w:color w:val="1E293B"/>
          <w:sz w:val="16"/>
        </w:rPr>
        <w:t>Maintain monthly statutory registers (muster rolls, wage registers, EPF/ESIC remittance receipts).</w:t>
      </w:r>
    </w:p>
    <w:p>
      <w:pPr>
        <w:pStyle w:val="ListBullet"/>
        <w:spacing w:after="40"/>
      </w:pPr>
      <w:r>
        <w:rPr>
          <w:color w:val="1E293B"/>
          <w:sz w:val="16"/>
        </w:rPr>
        <w:t>Monitor validity of CEIG clearances, forest permissions, and railway crossing approvals.</w:t>
      </w:r>
    </w:p>
    <w:p>
      <w:pPr>
        <w:pStyle w:val="Heading2"/>
        <w:spacing w:before="280" w:after="80"/>
      </w:pPr>
      <w:r>
        <w:rPr>
          <w:color w:val="2563EB"/>
          <w:sz w:val="23"/>
        </w:rPr>
        <w:t>8. HSE &amp; Safety Officer</w:t>
      </w:r>
    </w:p>
    <w:p>
      <w:pPr>
        <w:spacing w:after="80"/>
      </w:pPr>
      <w:r>
        <w:rPr>
          <w:b/>
          <w:sz w:val="18"/>
        </w:rPr>
        <w:t xml:space="preserve">Assigned Persona: </w:t>
      </w:r>
      <w:r>
        <w:rPr>
          <w:sz w:val="18"/>
        </w:rPr>
        <w:t xml:space="preserve">Anita Reddy (Safety / HSE Officer)  |  </w:t>
      </w:r>
      <w:r>
        <w:rPr>
          <w:b/>
          <w:sz w:val="18"/>
        </w:rPr>
        <w:t xml:space="preserve">Module Route: </w:t>
      </w:r>
      <w:r>
        <w:rPr>
          <w:color w:val="475569"/>
          <w:sz w:val="18"/>
        </w:rPr>
        <w:t>/golden-period/insurance, /safety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DOC-09B</w:t>
            </w:r>
          </w:p>
        </w:tc>
        <w:tc>
          <w:tcPr>
            <w:tcW w:type="dxa" w:w="2592"/>
            <w:shd w:fill="FFFFFF"/>
            <w:tcMar>
              <w:top w:w="60" w:type="dxa"/>
              <w:bottom w:w="60" w:type="dxa"/>
              <w:left w:w="80" w:type="dxa"/>
              <w:right w:w="80" w:type="dxa"/>
            </w:tcMar>
          </w:tcPr>
          <w:p>
            <w:r>
              <w:rPr>
                <w:b/>
                <w:color w:val="1E293B"/>
                <w:sz w:val="16"/>
              </w:rPr>
              <w:t>Workmen Compensation (WC) Policy</w:t>
            </w:r>
          </w:p>
        </w:tc>
        <w:tc>
          <w:tcPr>
            <w:tcW w:type="dxa" w:w="1152"/>
            <w:shd w:fill="FFFFFF"/>
            <w:tcMar>
              <w:top w:w="60" w:type="dxa"/>
              <w:bottom w:w="60" w:type="dxa"/>
              <w:left w:w="80" w:type="dxa"/>
              <w:right w:w="80" w:type="dxa"/>
            </w:tcMar>
          </w:tcPr>
          <w:p>
            <w:r>
              <w:rPr>
                <w:sz w:val="16"/>
              </w:rPr>
              <w:t>Day 25</w:t>
            </w:r>
          </w:p>
        </w:tc>
        <w:tc>
          <w:tcPr>
            <w:tcW w:type="dxa" w:w="2592"/>
            <w:shd w:fill="FFFFFF"/>
            <w:tcMar>
              <w:top w:w="60" w:type="dxa"/>
              <w:bottom w:w="60" w:type="dxa"/>
              <w:left w:w="80" w:type="dxa"/>
              <w:right w:w="80" w:type="dxa"/>
            </w:tcMar>
          </w:tcPr>
          <w:p>
            <w:r>
              <w:rPr>
                <w:sz w:val="16"/>
              </w:rPr>
              <w:t>Manpower deployment plan &amp; headcount</w:t>
            </w:r>
          </w:p>
        </w:tc>
        <w:tc>
          <w:tcPr>
            <w:tcW w:type="dxa" w:w="2880"/>
            <w:shd w:fill="FFFFFF"/>
            <w:tcMar>
              <w:top w:w="60" w:type="dxa"/>
              <w:bottom w:w="60" w:type="dxa"/>
              <w:left w:w="80" w:type="dxa"/>
              <w:right w:w="80" w:type="dxa"/>
            </w:tcMar>
          </w:tcPr>
          <w:p>
            <w:r>
              <w:rPr>
                <w:sz w:val="16"/>
              </w:rPr>
              <w:t>Mandatory attachment for CLRA license; covers worker accident liabilities</w:t>
            </w:r>
          </w:p>
        </w:tc>
      </w:tr>
      <w:tr>
        <w:tc>
          <w:tcPr>
            <w:tcW w:type="dxa" w:w="1152"/>
            <w:shd w:fill="F8FAFC"/>
            <w:tcMar>
              <w:top w:w="60" w:type="dxa"/>
              <w:bottom w:w="60" w:type="dxa"/>
              <w:left w:w="80" w:type="dxa"/>
              <w:right w:w="80" w:type="dxa"/>
            </w:tcMar>
          </w:tcPr>
          <w:p>
            <w:r>
              <w:rPr>
                <w:b/>
                <w:sz w:val="16"/>
              </w:rPr>
              <w:t>DOC-CAR</w:t>
            </w:r>
          </w:p>
        </w:tc>
        <w:tc>
          <w:tcPr>
            <w:tcW w:type="dxa" w:w="2592"/>
            <w:shd w:fill="F8FAFC"/>
            <w:tcMar>
              <w:top w:w="60" w:type="dxa"/>
              <w:bottom w:w="60" w:type="dxa"/>
              <w:left w:w="80" w:type="dxa"/>
              <w:right w:w="80" w:type="dxa"/>
            </w:tcMar>
          </w:tcPr>
          <w:p>
            <w:r>
              <w:rPr>
                <w:b/>
                <w:color w:val="1E293B"/>
                <w:sz w:val="16"/>
              </w:rPr>
              <w:t>Contractor's All Risk (CAR) Policy</w:t>
            </w:r>
          </w:p>
        </w:tc>
        <w:tc>
          <w:tcPr>
            <w:tcW w:type="dxa" w:w="1152"/>
            <w:shd w:fill="F8FAFC"/>
            <w:tcMar>
              <w:top w:w="60" w:type="dxa"/>
              <w:bottom w:w="60" w:type="dxa"/>
              <w:left w:w="80" w:type="dxa"/>
              <w:right w:w="80" w:type="dxa"/>
            </w:tcMar>
          </w:tcPr>
          <w:p>
            <w:r>
              <w:rPr>
                <w:sz w:val="16"/>
              </w:rPr>
              <w:t>Day 25</w:t>
            </w:r>
          </w:p>
        </w:tc>
        <w:tc>
          <w:tcPr>
            <w:tcW w:type="dxa" w:w="2592"/>
            <w:shd w:fill="F8FAFC"/>
            <w:tcMar>
              <w:top w:w="60" w:type="dxa"/>
              <w:bottom w:w="60" w:type="dxa"/>
              <w:left w:w="80" w:type="dxa"/>
              <w:right w:w="80" w:type="dxa"/>
            </w:tcMar>
          </w:tcPr>
          <w:p>
            <w:r>
              <w:rPr>
                <w:sz w:val="16"/>
              </w:rPr>
              <w:t>Total contract award value</w:t>
            </w:r>
          </w:p>
        </w:tc>
        <w:tc>
          <w:tcPr>
            <w:tcW w:type="dxa" w:w="2880"/>
            <w:shd w:fill="F8FAFC"/>
            <w:tcMar>
              <w:top w:w="60" w:type="dxa"/>
              <w:bottom w:w="60" w:type="dxa"/>
              <w:left w:w="80" w:type="dxa"/>
              <w:right w:w="80" w:type="dxa"/>
            </w:tcMar>
          </w:tcPr>
          <w:p>
            <w:r>
              <w:rPr>
                <w:sz w:val="16"/>
              </w:rPr>
              <w:t>Insurance covering damage to site materials, stubs, and third-party liabilities</w:t>
            </w:r>
          </w:p>
        </w:tc>
      </w:tr>
      <w:tr>
        <w:tc>
          <w:tcPr>
            <w:tcW w:type="dxa" w:w="1152"/>
            <w:shd w:fill="FFFFFF"/>
            <w:tcMar>
              <w:top w:w="60" w:type="dxa"/>
              <w:bottom w:w="60" w:type="dxa"/>
              <w:left w:w="80" w:type="dxa"/>
              <w:right w:w="80" w:type="dxa"/>
            </w:tcMar>
          </w:tcPr>
          <w:p>
            <w:r>
              <w:rPr>
                <w:b/>
                <w:sz w:val="16"/>
              </w:rPr>
              <w:t>DOC-TBT</w:t>
            </w:r>
          </w:p>
        </w:tc>
        <w:tc>
          <w:tcPr>
            <w:tcW w:type="dxa" w:w="2592"/>
            <w:shd w:fill="FFFFFF"/>
            <w:tcMar>
              <w:top w:w="60" w:type="dxa"/>
              <w:bottom w:w="60" w:type="dxa"/>
              <w:left w:w="80" w:type="dxa"/>
              <w:right w:w="80" w:type="dxa"/>
            </w:tcMar>
          </w:tcPr>
          <w:p>
            <w:r>
              <w:rPr>
                <w:b/>
                <w:color w:val="1E293B"/>
                <w:sz w:val="16"/>
              </w:rPr>
              <w:t>Toolbox Talks &amp; Safety Audits</w:t>
            </w:r>
          </w:p>
        </w:tc>
        <w:tc>
          <w:tcPr>
            <w:tcW w:type="dxa" w:w="1152"/>
            <w:shd w:fill="FFFFFF"/>
            <w:tcMar>
              <w:top w:w="60" w:type="dxa"/>
              <w:bottom w:w="60" w:type="dxa"/>
              <w:left w:w="80" w:type="dxa"/>
              <w:right w:w="80" w:type="dxa"/>
            </w:tcMar>
          </w:tcPr>
          <w:p>
            <w:r>
              <w:rPr>
                <w:sz w:val="16"/>
              </w:rPr>
              <w:t>Daily/Weekly</w:t>
            </w:r>
          </w:p>
        </w:tc>
        <w:tc>
          <w:tcPr>
            <w:tcW w:type="dxa" w:w="2592"/>
            <w:shd w:fill="FFFFFF"/>
            <w:tcMar>
              <w:top w:w="60" w:type="dxa"/>
              <w:bottom w:w="60" w:type="dxa"/>
              <w:left w:w="80" w:type="dxa"/>
              <w:right w:w="80" w:type="dxa"/>
            </w:tcMar>
          </w:tcPr>
          <w:p>
            <w:r>
              <w:rPr>
                <w:sz w:val="16"/>
              </w:rPr>
              <w:t>Site work activity initiation</w:t>
            </w:r>
          </w:p>
        </w:tc>
        <w:tc>
          <w:tcPr>
            <w:tcW w:type="dxa" w:w="2880"/>
            <w:shd w:fill="FFFFFF"/>
            <w:tcMar>
              <w:top w:w="60" w:type="dxa"/>
              <w:bottom w:w="60" w:type="dxa"/>
              <w:left w:w="80" w:type="dxa"/>
              <w:right w:w="80" w:type="dxa"/>
            </w:tcMar>
          </w:tcPr>
          <w:p>
            <w:r>
              <w:rPr>
                <w:sz w:val="16"/>
              </w:rPr>
              <w:t>Logs safety briefings, PPE enforcement, and incident prevention protocols</w:t>
            </w:r>
          </w:p>
        </w:tc>
      </w:tr>
    </w:tbl>
    <w:p>
      <w:pPr>
        <w:spacing w:before="120" w:after="40"/>
      </w:pPr>
      <w:r>
        <w:rPr>
          <w:b/>
          <w:color w:val="1E293B"/>
          <w:sz w:val="17"/>
        </w:rPr>
        <w:t>Ongoing Maintenance &amp; System Audit Responsibilities:</w:t>
      </w:r>
    </w:p>
    <w:p>
      <w:pPr>
        <w:pStyle w:val="ListBullet"/>
        <w:spacing w:after="40"/>
      </w:pPr>
      <w:r>
        <w:rPr>
          <w:color w:val="1E293B"/>
          <w:sz w:val="16"/>
        </w:rPr>
        <w:t>Maintain zero-incident safety logs, near-miss incident registers, and PPE compliance records.</w:t>
      </w:r>
    </w:p>
    <w:p>
      <w:pPr>
        <w:pStyle w:val="ListBullet"/>
        <w:spacing w:after="40"/>
      </w:pPr>
      <w:r>
        <w:rPr>
          <w:color w:val="1E293B"/>
          <w:sz w:val="16"/>
        </w:rPr>
        <w:t>Ensure insurance policy endorsements are executed whenever contractor manpower expands.</w:t>
      </w:r>
    </w:p>
    <w:p>
      <w:pPr>
        <w:pStyle w:val="Heading2"/>
        <w:spacing w:before="280" w:after="80"/>
      </w:pPr>
      <w:r>
        <w:rPr>
          <w:color w:val="2563EB"/>
          <w:sz w:val="23"/>
        </w:rPr>
        <w:t>9. QA/QC Inspector</w:t>
      </w:r>
    </w:p>
    <w:p>
      <w:pPr>
        <w:spacing w:after="80"/>
      </w:pPr>
      <w:r>
        <w:rPr>
          <w:b/>
          <w:sz w:val="18"/>
        </w:rPr>
        <w:t xml:space="preserve">Assigned Persona: </w:t>
      </w:r>
      <w:r>
        <w:rPr>
          <w:sz w:val="18"/>
        </w:rPr>
        <w:t xml:space="preserve">Deepa Nair (Lead QA/QC Inspector)  |  </w:t>
      </w:r>
      <w:r>
        <w:rPr>
          <w:b/>
          <w:sz w:val="18"/>
        </w:rPr>
        <w:t xml:space="preserve">Module Route: </w:t>
      </w:r>
      <w:r>
        <w:rPr>
          <w:color w:val="475569"/>
          <w:sz w:val="18"/>
        </w:rPr>
        <w:t>/qa-qc/inspections, /qa-qc/ncr</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DOC-12</w:t>
            </w:r>
          </w:p>
        </w:tc>
        <w:tc>
          <w:tcPr>
            <w:tcW w:type="dxa" w:w="2592"/>
            <w:shd w:fill="FFFFFF"/>
            <w:tcMar>
              <w:top w:w="60" w:type="dxa"/>
              <w:bottom w:w="60" w:type="dxa"/>
              <w:left w:w="80" w:type="dxa"/>
              <w:right w:w="80" w:type="dxa"/>
            </w:tcMar>
          </w:tcPr>
          <w:p>
            <w:r>
              <w:rPr>
                <w:b/>
                <w:color w:val="1E293B"/>
                <w:sz w:val="16"/>
              </w:rPr>
              <w:t>Factory Acceptance Test (FAT) Report</w:t>
            </w:r>
          </w:p>
        </w:tc>
        <w:tc>
          <w:tcPr>
            <w:tcW w:type="dxa" w:w="1152"/>
            <w:shd w:fill="FFFFFF"/>
            <w:tcMar>
              <w:top w:w="60" w:type="dxa"/>
              <w:bottom w:w="60" w:type="dxa"/>
              <w:left w:w="80" w:type="dxa"/>
              <w:right w:w="80" w:type="dxa"/>
            </w:tcMar>
          </w:tcPr>
          <w:p>
            <w:r>
              <w:rPr>
                <w:sz w:val="16"/>
              </w:rPr>
              <w:t>Day 42</w:t>
            </w:r>
          </w:p>
        </w:tc>
        <w:tc>
          <w:tcPr>
            <w:tcW w:type="dxa" w:w="2592"/>
            <w:shd w:fill="FFFFFF"/>
            <w:tcMar>
              <w:top w:w="60" w:type="dxa"/>
              <w:bottom w:w="60" w:type="dxa"/>
              <w:left w:w="80" w:type="dxa"/>
              <w:right w:w="80" w:type="dxa"/>
            </w:tcMar>
          </w:tcPr>
          <w:p>
            <w:r>
              <w:rPr>
                <w:sz w:val="16"/>
              </w:rPr>
              <w:t>Joint testing witnessed with Utility Inspector</w:t>
            </w:r>
          </w:p>
        </w:tc>
        <w:tc>
          <w:tcPr>
            <w:tcW w:type="dxa" w:w="2880"/>
            <w:shd w:fill="FFFFFF"/>
            <w:tcMar>
              <w:top w:w="60" w:type="dxa"/>
              <w:bottom w:w="60" w:type="dxa"/>
              <w:left w:w="80" w:type="dxa"/>
              <w:right w:w="80" w:type="dxa"/>
            </w:tcMar>
          </w:tcPr>
          <w:p>
            <w:r>
              <w:rPr>
                <w:sz w:val="16"/>
              </w:rPr>
              <w:t>Delivered to Marketing to apply for official Client Dispatch Instruction (DI)</w:t>
            </w:r>
          </w:p>
        </w:tc>
      </w:tr>
      <w:tr>
        <w:tc>
          <w:tcPr>
            <w:tcW w:type="dxa" w:w="1152"/>
            <w:shd w:fill="F8FAFC"/>
            <w:tcMar>
              <w:top w:w="60" w:type="dxa"/>
              <w:bottom w:w="60" w:type="dxa"/>
              <w:left w:w="80" w:type="dxa"/>
              <w:right w:w="80" w:type="dxa"/>
            </w:tcMar>
          </w:tcPr>
          <w:p>
            <w:r>
              <w:rPr>
                <w:b/>
                <w:sz w:val="16"/>
              </w:rPr>
              <w:t>DOC-MTC</w:t>
            </w:r>
          </w:p>
        </w:tc>
        <w:tc>
          <w:tcPr>
            <w:tcW w:type="dxa" w:w="2592"/>
            <w:shd w:fill="F8FAFC"/>
            <w:tcMar>
              <w:top w:w="60" w:type="dxa"/>
              <w:bottom w:w="60" w:type="dxa"/>
              <w:left w:w="80" w:type="dxa"/>
              <w:right w:w="80" w:type="dxa"/>
            </w:tcMar>
          </w:tcPr>
          <w:p>
            <w:r>
              <w:rPr>
                <w:b/>
                <w:color w:val="1E293B"/>
                <w:sz w:val="16"/>
              </w:rPr>
              <w:t>Manufacturer Test Certificates (MTC)</w:t>
            </w:r>
          </w:p>
        </w:tc>
        <w:tc>
          <w:tcPr>
            <w:tcW w:type="dxa" w:w="1152"/>
            <w:shd w:fill="F8FAFC"/>
            <w:tcMar>
              <w:top w:w="60" w:type="dxa"/>
              <w:bottom w:w="60" w:type="dxa"/>
              <w:left w:w="80" w:type="dxa"/>
              <w:right w:w="80" w:type="dxa"/>
            </w:tcMar>
          </w:tcPr>
          <w:p>
            <w:r>
              <w:rPr>
                <w:sz w:val="16"/>
              </w:rPr>
              <w:t>With FAT</w:t>
            </w:r>
          </w:p>
        </w:tc>
        <w:tc>
          <w:tcPr>
            <w:tcW w:type="dxa" w:w="2592"/>
            <w:shd w:fill="F8FAFC"/>
            <w:tcMar>
              <w:top w:w="60" w:type="dxa"/>
              <w:bottom w:w="60" w:type="dxa"/>
              <w:left w:w="80" w:type="dxa"/>
              <w:right w:w="80" w:type="dxa"/>
            </w:tcMar>
          </w:tcPr>
          <w:p>
            <w:r>
              <w:rPr>
                <w:sz w:val="16"/>
              </w:rPr>
              <w:t>Mill test certificates for steel, zinc, aluminium</w:t>
            </w:r>
          </w:p>
        </w:tc>
        <w:tc>
          <w:tcPr>
            <w:tcW w:type="dxa" w:w="2880"/>
            <w:shd w:fill="F8FAFC"/>
            <w:tcMar>
              <w:top w:w="60" w:type="dxa"/>
              <w:bottom w:w="60" w:type="dxa"/>
              <w:left w:w="80" w:type="dxa"/>
              <w:right w:w="80" w:type="dxa"/>
            </w:tcMar>
          </w:tcPr>
          <w:p>
            <w:r>
              <w:rPr>
                <w:sz w:val="16"/>
              </w:rPr>
              <w:t>Validates raw material chemical composition, UTS, and galvanizing quality</w:t>
            </w:r>
          </w:p>
        </w:tc>
      </w:tr>
      <w:tr>
        <w:tc>
          <w:tcPr>
            <w:tcW w:type="dxa" w:w="1152"/>
            <w:shd w:fill="FFFFFF"/>
            <w:tcMar>
              <w:top w:w="60" w:type="dxa"/>
              <w:bottom w:w="60" w:type="dxa"/>
              <w:left w:w="80" w:type="dxa"/>
              <w:right w:w="80" w:type="dxa"/>
            </w:tcMar>
          </w:tcPr>
          <w:p>
            <w:r>
              <w:rPr>
                <w:b/>
                <w:sz w:val="16"/>
              </w:rPr>
              <w:t>DOC-NCR</w:t>
            </w:r>
          </w:p>
        </w:tc>
        <w:tc>
          <w:tcPr>
            <w:tcW w:type="dxa" w:w="2592"/>
            <w:shd w:fill="FFFFFF"/>
            <w:tcMar>
              <w:top w:w="60" w:type="dxa"/>
              <w:bottom w:w="60" w:type="dxa"/>
              <w:left w:w="80" w:type="dxa"/>
              <w:right w:w="80" w:type="dxa"/>
            </w:tcMar>
          </w:tcPr>
          <w:p>
            <w:r>
              <w:rPr>
                <w:b/>
                <w:color w:val="1E293B"/>
                <w:sz w:val="16"/>
              </w:rPr>
              <w:t>Non-Conformance Reports (NCR)</w:t>
            </w:r>
          </w:p>
        </w:tc>
        <w:tc>
          <w:tcPr>
            <w:tcW w:type="dxa" w:w="1152"/>
            <w:shd w:fill="FFFFFF"/>
            <w:tcMar>
              <w:top w:w="60" w:type="dxa"/>
              <w:bottom w:w="60" w:type="dxa"/>
              <w:left w:w="80" w:type="dxa"/>
              <w:right w:w="80" w:type="dxa"/>
            </w:tcMar>
          </w:tcPr>
          <w:p>
            <w:r>
              <w:rPr>
                <w:sz w:val="16"/>
              </w:rPr>
              <w:t>On defect</w:t>
            </w:r>
          </w:p>
        </w:tc>
        <w:tc>
          <w:tcPr>
            <w:tcW w:type="dxa" w:w="2592"/>
            <w:shd w:fill="FFFFFF"/>
            <w:tcMar>
              <w:top w:w="60" w:type="dxa"/>
              <w:bottom w:w="60" w:type="dxa"/>
              <w:left w:w="80" w:type="dxa"/>
              <w:right w:w="80" w:type="dxa"/>
            </w:tcMar>
          </w:tcPr>
          <w:p>
            <w:r>
              <w:rPr>
                <w:sz w:val="16"/>
              </w:rPr>
              <w:t>Quality deviation during factory/site testing</w:t>
            </w:r>
          </w:p>
        </w:tc>
        <w:tc>
          <w:tcPr>
            <w:tcW w:type="dxa" w:w="2880"/>
            <w:shd w:fill="FFFFFF"/>
            <w:tcMar>
              <w:top w:w="60" w:type="dxa"/>
              <w:bottom w:w="60" w:type="dxa"/>
              <w:left w:w="80" w:type="dxa"/>
              <w:right w:w="80" w:type="dxa"/>
            </w:tcMar>
          </w:tcPr>
          <w:p>
            <w:r>
              <w:rPr>
                <w:sz w:val="16"/>
              </w:rPr>
              <w:t>Blocks material dispatch or site work until corrective action is verified</w:t>
            </w:r>
          </w:p>
        </w:tc>
      </w:tr>
    </w:tbl>
    <w:p>
      <w:pPr>
        <w:spacing w:before="120" w:after="40"/>
      </w:pPr>
      <w:r>
        <w:rPr>
          <w:b/>
          <w:color w:val="1E293B"/>
          <w:sz w:val="17"/>
        </w:rPr>
        <w:t>Ongoing Maintenance &amp; System Audit Responsibilities:</w:t>
      </w:r>
    </w:p>
    <w:p>
      <w:pPr>
        <w:pStyle w:val="ListBullet"/>
        <w:spacing w:after="40"/>
      </w:pPr>
      <w:r>
        <w:rPr>
          <w:color w:val="1E293B"/>
          <w:sz w:val="16"/>
        </w:rPr>
        <w:t>Maintain inspection call records, signed FAT certificates, and calibration test sheets.</w:t>
      </w:r>
    </w:p>
    <w:p>
      <w:pPr>
        <w:pStyle w:val="ListBullet"/>
        <w:spacing w:after="40"/>
      </w:pPr>
      <w:r>
        <w:rPr>
          <w:color w:val="1E293B"/>
          <w:sz w:val="16"/>
        </w:rPr>
        <w:t>Conduct site quality audits (pit dimensions, concrete slump tests, 7/28-day cube strength tests).</w:t>
      </w:r>
    </w:p>
    <w:p>
      <w:pPr>
        <w:pStyle w:val="Heading2"/>
        <w:spacing w:before="280" w:after="80"/>
      </w:pPr>
      <w:r>
        <w:rPr>
          <w:color w:val="2563EB"/>
          <w:sz w:val="23"/>
        </w:rPr>
        <w:t>10. Store Manager &amp; Inventory Controller</w:t>
      </w:r>
    </w:p>
    <w:p>
      <w:pPr>
        <w:spacing w:after="80"/>
      </w:pPr>
      <w:r>
        <w:rPr>
          <w:b/>
          <w:sz w:val="18"/>
        </w:rPr>
        <w:t xml:space="preserve">Assigned Persona: </w:t>
      </w:r>
      <w:r>
        <w:rPr>
          <w:sz w:val="18"/>
        </w:rPr>
        <w:t xml:space="preserve">Manoj Desai (Store Manager / Inventory Controller)  |  </w:t>
      </w:r>
      <w:r>
        <w:rPr>
          <w:b/>
          <w:sz w:val="18"/>
        </w:rPr>
        <w:t xml:space="preserve">Module Route: </w:t>
      </w:r>
      <w:r>
        <w:rPr>
          <w:color w:val="475569"/>
          <w:sz w:val="18"/>
        </w:rPr>
        <w:t>/golden-period/stores, /inventory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DOC-14</w:t>
            </w:r>
          </w:p>
        </w:tc>
        <w:tc>
          <w:tcPr>
            <w:tcW w:type="dxa" w:w="2592"/>
            <w:shd w:fill="FFFFFF"/>
            <w:tcMar>
              <w:top w:w="60" w:type="dxa"/>
              <w:bottom w:w="60" w:type="dxa"/>
              <w:left w:w="80" w:type="dxa"/>
              <w:right w:w="80" w:type="dxa"/>
            </w:tcMar>
          </w:tcPr>
          <w:p>
            <w:r>
              <w:rPr>
                <w:b/>
                <w:color w:val="1E293B"/>
                <w:sz w:val="16"/>
              </w:rPr>
              <w:t>Site Store Readiness Certificate</w:t>
            </w:r>
          </w:p>
        </w:tc>
        <w:tc>
          <w:tcPr>
            <w:tcW w:type="dxa" w:w="1152"/>
            <w:shd w:fill="FFFFFF"/>
            <w:tcMar>
              <w:top w:w="60" w:type="dxa"/>
              <w:bottom w:w="60" w:type="dxa"/>
              <w:left w:w="80" w:type="dxa"/>
              <w:right w:w="80" w:type="dxa"/>
            </w:tcMar>
          </w:tcPr>
          <w:p>
            <w:r>
              <w:rPr>
                <w:sz w:val="16"/>
              </w:rPr>
              <w:t>Day 50</w:t>
            </w:r>
          </w:p>
        </w:tc>
        <w:tc>
          <w:tcPr>
            <w:tcW w:type="dxa" w:w="2592"/>
            <w:shd w:fill="FFFFFF"/>
            <w:tcMar>
              <w:top w:w="60" w:type="dxa"/>
              <w:bottom w:w="60" w:type="dxa"/>
              <w:left w:w="80" w:type="dxa"/>
              <w:right w:w="80" w:type="dxa"/>
            </w:tcMar>
          </w:tcPr>
          <w:p>
            <w:r>
              <w:rPr>
                <w:sz w:val="16"/>
              </w:rPr>
              <w:t>Yard lease, fencing, 24x7 guards, crane, shed</w:t>
            </w:r>
          </w:p>
        </w:tc>
        <w:tc>
          <w:tcPr>
            <w:tcW w:type="dxa" w:w="2880"/>
            <w:shd w:fill="FFFFFF"/>
            <w:tcMar>
              <w:top w:w="60" w:type="dxa"/>
              <w:bottom w:w="60" w:type="dxa"/>
              <w:left w:w="80" w:type="dxa"/>
              <w:right w:w="80" w:type="dxa"/>
            </w:tcMar>
          </w:tcPr>
          <w:p>
            <w:r>
              <w:rPr>
                <w:sz w:val="16"/>
              </w:rPr>
              <w:t>Certifies central yard ready for receipt; clears physical store gate</w:t>
            </w:r>
          </w:p>
        </w:tc>
      </w:tr>
      <w:tr>
        <w:tc>
          <w:tcPr>
            <w:tcW w:type="dxa" w:w="1152"/>
            <w:shd w:fill="F8FAFC"/>
            <w:tcMar>
              <w:top w:w="60" w:type="dxa"/>
              <w:bottom w:w="60" w:type="dxa"/>
              <w:left w:w="80" w:type="dxa"/>
              <w:right w:w="80" w:type="dxa"/>
            </w:tcMar>
          </w:tcPr>
          <w:p>
            <w:r>
              <w:rPr>
                <w:b/>
                <w:sz w:val="16"/>
              </w:rPr>
              <w:t>DOC-15</w:t>
            </w:r>
          </w:p>
        </w:tc>
        <w:tc>
          <w:tcPr>
            <w:tcW w:type="dxa" w:w="2592"/>
            <w:shd w:fill="F8FAFC"/>
            <w:tcMar>
              <w:top w:w="60" w:type="dxa"/>
              <w:bottom w:w="60" w:type="dxa"/>
              <w:left w:w="80" w:type="dxa"/>
              <w:right w:w="80" w:type="dxa"/>
            </w:tcMar>
          </w:tcPr>
          <w:p>
            <w:r>
              <w:rPr>
                <w:b/>
                <w:color w:val="1E293B"/>
                <w:sz w:val="16"/>
              </w:rPr>
              <w:t>Material Receipt Note (MRN)</w:t>
            </w:r>
          </w:p>
        </w:tc>
        <w:tc>
          <w:tcPr>
            <w:tcW w:type="dxa" w:w="1152"/>
            <w:shd w:fill="F8FAFC"/>
            <w:tcMar>
              <w:top w:w="60" w:type="dxa"/>
              <w:bottom w:w="60" w:type="dxa"/>
              <w:left w:w="80" w:type="dxa"/>
              <w:right w:w="80" w:type="dxa"/>
            </w:tcMar>
          </w:tcPr>
          <w:p>
            <w:r>
              <w:rPr>
                <w:sz w:val="16"/>
              </w:rPr>
              <w:t>Day 55</w:t>
            </w:r>
          </w:p>
        </w:tc>
        <w:tc>
          <w:tcPr>
            <w:tcW w:type="dxa" w:w="2592"/>
            <w:shd w:fill="F8FAFC"/>
            <w:tcMar>
              <w:top w:w="60" w:type="dxa"/>
              <w:bottom w:w="60" w:type="dxa"/>
              <w:left w:w="80" w:type="dxa"/>
              <w:right w:w="80" w:type="dxa"/>
            </w:tcMar>
          </w:tcPr>
          <w:p>
            <w:r>
              <w:rPr>
                <w:sz w:val="16"/>
              </w:rPr>
              <w:t>Arrival of trucks under DI + e-way bills</w:t>
            </w:r>
          </w:p>
        </w:tc>
        <w:tc>
          <w:tcPr>
            <w:tcW w:type="dxa" w:w="2880"/>
            <w:shd w:fill="F8FAFC"/>
            <w:tcMar>
              <w:top w:w="60" w:type="dxa"/>
              <w:bottom w:w="60" w:type="dxa"/>
              <w:left w:w="80" w:type="dxa"/>
              <w:right w:w="80" w:type="dxa"/>
            </w:tcMar>
          </w:tcPr>
          <w:p>
            <w:r>
              <w:rPr>
                <w:sz w:val="16"/>
              </w:rPr>
              <w:t>Inwards stubs, conductor, and cement into inventory for site gang issue</w:t>
            </w:r>
          </w:p>
        </w:tc>
      </w:tr>
      <w:tr>
        <w:tc>
          <w:tcPr>
            <w:tcW w:type="dxa" w:w="1152"/>
            <w:shd w:fill="FFFFFF"/>
            <w:tcMar>
              <w:top w:w="60" w:type="dxa"/>
              <w:bottom w:w="60" w:type="dxa"/>
              <w:left w:w="80" w:type="dxa"/>
              <w:right w:w="80" w:type="dxa"/>
            </w:tcMar>
          </w:tcPr>
          <w:p>
            <w:r>
              <w:rPr>
                <w:b/>
                <w:sz w:val="16"/>
              </w:rPr>
              <w:t>DOC-MIN</w:t>
            </w:r>
          </w:p>
        </w:tc>
        <w:tc>
          <w:tcPr>
            <w:tcW w:type="dxa" w:w="2592"/>
            <w:shd w:fill="FFFFFF"/>
            <w:tcMar>
              <w:top w:w="60" w:type="dxa"/>
              <w:bottom w:w="60" w:type="dxa"/>
              <w:left w:w="80" w:type="dxa"/>
              <w:right w:w="80" w:type="dxa"/>
            </w:tcMar>
          </w:tcPr>
          <w:p>
            <w:r>
              <w:rPr>
                <w:b/>
                <w:color w:val="1E293B"/>
                <w:sz w:val="16"/>
              </w:rPr>
              <w:t>Material Issue Note (MIN)</w:t>
            </w:r>
          </w:p>
        </w:tc>
        <w:tc>
          <w:tcPr>
            <w:tcW w:type="dxa" w:w="1152"/>
            <w:shd w:fill="FFFFFF"/>
            <w:tcMar>
              <w:top w:w="60" w:type="dxa"/>
              <w:bottom w:w="60" w:type="dxa"/>
              <w:left w:w="80" w:type="dxa"/>
              <w:right w:w="80" w:type="dxa"/>
            </w:tcMar>
          </w:tcPr>
          <w:p>
            <w:r>
              <w:rPr>
                <w:sz w:val="16"/>
              </w:rPr>
              <w:t>Daily</w:t>
            </w:r>
          </w:p>
        </w:tc>
        <w:tc>
          <w:tcPr>
            <w:tcW w:type="dxa" w:w="2592"/>
            <w:shd w:fill="FFFFFF"/>
            <w:tcMar>
              <w:top w:w="60" w:type="dxa"/>
              <w:bottom w:w="60" w:type="dxa"/>
              <w:left w:w="80" w:type="dxa"/>
              <w:right w:w="80" w:type="dxa"/>
            </w:tcMar>
          </w:tcPr>
          <w:p>
            <w:r>
              <w:rPr>
                <w:sz w:val="16"/>
              </w:rPr>
              <w:t>Requisition signed by Gang Supervisor</w:t>
            </w:r>
          </w:p>
        </w:tc>
        <w:tc>
          <w:tcPr>
            <w:tcW w:type="dxa" w:w="2880"/>
            <w:shd w:fill="FFFFFF"/>
            <w:tcMar>
              <w:top w:w="60" w:type="dxa"/>
              <w:bottom w:w="60" w:type="dxa"/>
              <w:left w:w="80" w:type="dxa"/>
              <w:right w:w="80" w:type="dxa"/>
            </w:tcMar>
          </w:tcPr>
          <w:p>
            <w:r>
              <w:rPr>
                <w:sz w:val="16"/>
              </w:rPr>
              <w:t>Formally issues stubs and template fixtures to specific tower locations</w:t>
            </w:r>
          </w:p>
        </w:tc>
      </w:tr>
    </w:tbl>
    <w:p>
      <w:pPr>
        <w:spacing w:before="120" w:after="40"/>
      </w:pPr>
      <w:r>
        <w:rPr>
          <w:b/>
          <w:color w:val="1E293B"/>
          <w:sz w:val="17"/>
        </w:rPr>
        <w:t>Ongoing Maintenance &amp; System Audit Responsibilities:</w:t>
      </w:r>
    </w:p>
    <w:p>
      <w:pPr>
        <w:pStyle w:val="ListBullet"/>
        <w:spacing w:after="40"/>
      </w:pPr>
      <w:r>
        <w:rPr>
          <w:color w:val="1E293B"/>
          <w:sz w:val="16"/>
        </w:rPr>
        <w:t>Maintain digital bin cards, daily physical stock ledgers, and scrap registers.</w:t>
      </w:r>
    </w:p>
    <w:p>
      <w:pPr>
        <w:pStyle w:val="ListBullet"/>
        <w:spacing w:after="40"/>
      </w:pPr>
      <w:r>
        <w:rPr>
          <w:color w:val="1E293B"/>
          <w:sz w:val="16"/>
        </w:rPr>
        <w:t>Conduct weekly physical vs. ERP system inventory reconciliations.</w:t>
      </w:r>
    </w:p>
    <w:p>
      <w:pPr>
        <w:pStyle w:val="Heading2"/>
        <w:spacing w:before="280" w:after="80"/>
      </w:pPr>
      <w:r>
        <w:rPr>
          <w:color w:val="2563EB"/>
          <w:sz w:val="23"/>
        </w:rPr>
        <w:t>11. Site Gang Supervisor &amp; Execution Team</w:t>
      </w:r>
    </w:p>
    <w:p>
      <w:pPr>
        <w:spacing w:after="80"/>
      </w:pPr>
      <w:r>
        <w:rPr>
          <w:b/>
          <w:sz w:val="18"/>
        </w:rPr>
        <w:t xml:space="preserve">Assigned Persona: </w:t>
      </w:r>
      <w:r>
        <w:rPr>
          <w:sz w:val="18"/>
        </w:rPr>
        <w:t xml:space="preserve">Suresh Yadav (Site Gang Supervisor)  |  </w:t>
      </w:r>
      <w:r>
        <w:rPr>
          <w:b/>
          <w:sz w:val="18"/>
        </w:rPr>
        <w:t xml:space="preserve">Module Route: </w:t>
      </w:r>
      <w:r>
        <w:rPr>
          <w:color w:val="475569"/>
          <w:sz w:val="18"/>
        </w:rPr>
        <w:t>/installation/dpr, /gangs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152"/>
            <w:shd w:fill="1E293B"/>
            <w:tcMar>
              <w:top w:w="80" w:type="dxa"/>
              <w:bottom w:w="80" w:type="dxa"/>
              <w:left w:w="80" w:type="dxa"/>
              <w:right w:w="80" w:type="dxa"/>
            </w:tcMar>
          </w:tcPr>
          <w:p>
            <w:r>
              <w:rPr>
                <w:b/>
                <w:color w:val="FFFFFF"/>
                <w:sz w:val="16"/>
              </w:rPr>
              <w:t>Code</w:t>
            </w:r>
          </w:p>
        </w:tc>
        <w:tc>
          <w:tcPr>
            <w:tcW w:type="dxa" w:w="2592"/>
            <w:shd w:fill="1E293B"/>
            <w:tcMar>
              <w:top w:w="80" w:type="dxa"/>
              <w:bottom w:w="80" w:type="dxa"/>
              <w:left w:w="80" w:type="dxa"/>
              <w:right w:w="80" w:type="dxa"/>
            </w:tcMar>
          </w:tcPr>
          <w:p>
            <w:r>
              <w:rPr>
                <w:b/>
                <w:color w:val="FFFFFF"/>
                <w:sz w:val="16"/>
              </w:rPr>
              <w:t>Document Name</w:t>
            </w:r>
          </w:p>
        </w:tc>
        <w:tc>
          <w:tcPr>
            <w:tcW w:type="dxa" w:w="1152"/>
            <w:shd w:fill="1E293B"/>
            <w:tcMar>
              <w:top w:w="80" w:type="dxa"/>
              <w:bottom w:w="80" w:type="dxa"/>
              <w:left w:w="80" w:type="dxa"/>
              <w:right w:w="80" w:type="dxa"/>
            </w:tcMar>
          </w:tcPr>
          <w:p>
            <w:r>
              <w:rPr>
                <w:b/>
                <w:color w:val="FFFFFF"/>
                <w:sz w:val="16"/>
              </w:rPr>
              <w:t>Target SLA</w:t>
            </w:r>
          </w:p>
        </w:tc>
        <w:tc>
          <w:tcPr>
            <w:tcW w:type="dxa" w:w="2592"/>
            <w:shd w:fill="1E293B"/>
            <w:tcMar>
              <w:top w:w="80" w:type="dxa"/>
              <w:bottom w:w="80" w:type="dxa"/>
              <w:left w:w="80" w:type="dxa"/>
              <w:right w:w="80" w:type="dxa"/>
            </w:tcMar>
          </w:tcPr>
          <w:p>
            <w:r>
              <w:rPr>
                <w:b/>
                <w:color w:val="FFFFFF"/>
                <w:sz w:val="16"/>
              </w:rPr>
              <w:t>Prerequisite (Input)</w:t>
            </w:r>
          </w:p>
        </w:tc>
        <w:tc>
          <w:tcPr>
            <w:tcW w:type="dxa" w:w="2880"/>
            <w:shd w:fill="1E293B"/>
            <w:tcMar>
              <w:top w:w="80" w:type="dxa"/>
              <w:bottom w:w="80" w:type="dxa"/>
              <w:left w:w="80" w:type="dxa"/>
              <w:right w:w="80" w:type="dxa"/>
            </w:tcMar>
          </w:tcPr>
          <w:p>
            <w:r>
              <w:rPr>
                <w:b/>
                <w:color w:val="FFFFFF"/>
                <w:sz w:val="16"/>
              </w:rPr>
              <w:t>Downstream Output / Gate</w:t>
            </w:r>
          </w:p>
        </w:tc>
      </w:tr>
      <w:tr>
        <w:tc>
          <w:tcPr>
            <w:tcW w:type="dxa" w:w="1152"/>
            <w:shd w:fill="FFFFFF"/>
            <w:tcMar>
              <w:top w:w="60" w:type="dxa"/>
              <w:bottom w:w="60" w:type="dxa"/>
              <w:left w:w="80" w:type="dxa"/>
              <w:right w:w="80" w:type="dxa"/>
            </w:tcMar>
          </w:tcPr>
          <w:p>
            <w:r>
              <w:rPr>
                <w:b/>
                <w:sz w:val="16"/>
              </w:rPr>
              <w:t>DOC-16B</w:t>
            </w:r>
          </w:p>
        </w:tc>
        <w:tc>
          <w:tcPr>
            <w:tcW w:type="dxa" w:w="2592"/>
            <w:shd w:fill="FFFFFF"/>
            <w:tcMar>
              <w:top w:w="60" w:type="dxa"/>
              <w:bottom w:w="60" w:type="dxa"/>
              <w:left w:w="80" w:type="dxa"/>
              <w:right w:w="80" w:type="dxa"/>
            </w:tcMar>
          </w:tcPr>
          <w:p>
            <w:r>
              <w:rPr>
                <w:b/>
                <w:color w:val="1E293B"/>
                <w:sz w:val="16"/>
              </w:rPr>
              <w:t>Daily Progress Report (DPR #01)</w:t>
            </w:r>
          </w:p>
        </w:tc>
        <w:tc>
          <w:tcPr>
            <w:tcW w:type="dxa" w:w="1152"/>
            <w:shd w:fill="FFFFFF"/>
            <w:tcMar>
              <w:top w:w="60" w:type="dxa"/>
              <w:bottom w:w="60" w:type="dxa"/>
              <w:left w:w="80" w:type="dxa"/>
              <w:right w:w="80" w:type="dxa"/>
            </w:tcMar>
          </w:tcPr>
          <w:p>
            <w:r>
              <w:rPr>
                <w:sz w:val="16"/>
              </w:rPr>
              <w:t>Day 60</w:t>
            </w:r>
          </w:p>
        </w:tc>
        <w:tc>
          <w:tcPr>
            <w:tcW w:type="dxa" w:w="2592"/>
            <w:shd w:fill="FFFFFF"/>
            <w:tcMar>
              <w:top w:w="60" w:type="dxa"/>
              <w:bottom w:w="60" w:type="dxa"/>
              <w:left w:w="80" w:type="dxa"/>
              <w:right w:w="80" w:type="dxa"/>
            </w:tcMar>
          </w:tcPr>
          <w:p>
            <w:r>
              <w:rPr>
                <w:sz w:val="16"/>
              </w:rPr>
              <w:t>Day 60 Gate sign-off + Stubs in Store</w:t>
            </w:r>
          </w:p>
        </w:tc>
        <w:tc>
          <w:tcPr>
            <w:tcW w:type="dxa" w:w="2880"/>
            <w:shd w:fill="FFFFFF"/>
            <w:tcMar>
              <w:top w:w="60" w:type="dxa"/>
              <w:bottom w:w="60" w:type="dxa"/>
              <w:left w:w="80" w:type="dxa"/>
              <w:right w:w="80" w:type="dxa"/>
            </w:tcMar>
          </w:tcPr>
          <w:p>
            <w:r>
              <w:rPr>
                <w:sz w:val="16"/>
              </w:rPr>
              <w:t>Records center marking, pit excavation, and stub alignment at Location AP-01</w:t>
            </w:r>
          </w:p>
        </w:tc>
      </w:tr>
      <w:tr>
        <w:tc>
          <w:tcPr>
            <w:tcW w:type="dxa" w:w="1152"/>
            <w:shd w:fill="F8FAFC"/>
            <w:tcMar>
              <w:top w:w="60" w:type="dxa"/>
              <w:bottom w:w="60" w:type="dxa"/>
              <w:left w:w="80" w:type="dxa"/>
              <w:right w:w="80" w:type="dxa"/>
            </w:tcMar>
          </w:tcPr>
          <w:p>
            <w:r>
              <w:rPr>
                <w:b/>
                <w:sz w:val="16"/>
              </w:rPr>
              <w:t>DOC-STUB</w:t>
            </w:r>
          </w:p>
        </w:tc>
        <w:tc>
          <w:tcPr>
            <w:tcW w:type="dxa" w:w="2592"/>
            <w:shd w:fill="F8FAFC"/>
            <w:tcMar>
              <w:top w:w="60" w:type="dxa"/>
              <w:bottom w:w="60" w:type="dxa"/>
              <w:left w:w="80" w:type="dxa"/>
              <w:right w:w="80" w:type="dxa"/>
            </w:tcMar>
          </w:tcPr>
          <w:p>
            <w:r>
              <w:rPr>
                <w:b/>
                <w:color w:val="1E293B"/>
                <w:sz w:val="16"/>
              </w:rPr>
              <w:t>Stub Setting &amp; Leveling Record</w:t>
            </w:r>
          </w:p>
        </w:tc>
        <w:tc>
          <w:tcPr>
            <w:tcW w:type="dxa" w:w="1152"/>
            <w:shd w:fill="F8FAFC"/>
            <w:tcMar>
              <w:top w:w="60" w:type="dxa"/>
              <w:bottom w:w="60" w:type="dxa"/>
              <w:left w:w="80" w:type="dxa"/>
              <w:right w:w="80" w:type="dxa"/>
            </w:tcMar>
          </w:tcPr>
          <w:p>
            <w:r>
              <w:rPr>
                <w:sz w:val="16"/>
              </w:rPr>
              <w:t>On setting</w:t>
            </w:r>
          </w:p>
        </w:tc>
        <w:tc>
          <w:tcPr>
            <w:tcW w:type="dxa" w:w="2592"/>
            <w:shd w:fill="F8FAFC"/>
            <w:tcMar>
              <w:top w:w="60" w:type="dxa"/>
              <w:bottom w:w="60" w:type="dxa"/>
              <w:left w:w="80" w:type="dxa"/>
              <w:right w:w="80" w:type="dxa"/>
            </w:tcMar>
          </w:tcPr>
          <w:p>
            <w:r>
              <w:rPr>
                <w:sz w:val="16"/>
              </w:rPr>
              <w:t>Pit excavation complete + stubs issued</w:t>
            </w:r>
          </w:p>
        </w:tc>
        <w:tc>
          <w:tcPr>
            <w:tcW w:type="dxa" w:w="2880"/>
            <w:shd w:fill="F8FAFC"/>
            <w:tcMar>
              <w:top w:w="60" w:type="dxa"/>
              <w:bottom w:w="60" w:type="dxa"/>
              <w:left w:w="80" w:type="dxa"/>
              <w:right w:w="80" w:type="dxa"/>
            </w:tcMar>
          </w:tcPr>
          <w:p>
            <w:r>
              <w:rPr>
                <w:sz w:val="16"/>
              </w:rPr>
              <w:t>Ensures diagonal, level, and template pitch verification before concrete pour</w:t>
            </w:r>
          </w:p>
        </w:tc>
      </w:tr>
      <w:tr>
        <w:tc>
          <w:tcPr>
            <w:tcW w:type="dxa" w:w="1152"/>
            <w:shd w:fill="FFFFFF"/>
            <w:tcMar>
              <w:top w:w="60" w:type="dxa"/>
              <w:bottom w:w="60" w:type="dxa"/>
              <w:left w:w="80" w:type="dxa"/>
              <w:right w:w="80" w:type="dxa"/>
            </w:tcMar>
          </w:tcPr>
          <w:p>
            <w:r>
              <w:rPr>
                <w:b/>
                <w:sz w:val="16"/>
              </w:rPr>
              <w:t>DOC-JMC</w:t>
            </w:r>
          </w:p>
        </w:tc>
        <w:tc>
          <w:tcPr>
            <w:tcW w:type="dxa" w:w="2592"/>
            <w:shd w:fill="FFFFFF"/>
            <w:tcMar>
              <w:top w:w="60" w:type="dxa"/>
              <w:bottom w:w="60" w:type="dxa"/>
              <w:left w:w="80" w:type="dxa"/>
              <w:right w:w="80" w:type="dxa"/>
            </w:tcMar>
          </w:tcPr>
          <w:p>
            <w:r>
              <w:rPr>
                <w:b/>
                <w:color w:val="1E293B"/>
                <w:sz w:val="16"/>
              </w:rPr>
              <w:t>Joint Measurement Certificate (JMC)</w:t>
            </w:r>
          </w:p>
        </w:tc>
        <w:tc>
          <w:tcPr>
            <w:tcW w:type="dxa" w:w="1152"/>
            <w:shd w:fill="FFFFFF"/>
            <w:tcMar>
              <w:top w:w="60" w:type="dxa"/>
              <w:bottom w:w="60" w:type="dxa"/>
              <w:left w:w="80" w:type="dxa"/>
              <w:right w:w="80" w:type="dxa"/>
            </w:tcMar>
          </w:tcPr>
          <w:p>
            <w:r>
              <w:rPr>
                <w:sz w:val="16"/>
              </w:rPr>
              <w:t>Monthly</w:t>
            </w:r>
          </w:p>
        </w:tc>
        <w:tc>
          <w:tcPr>
            <w:tcW w:type="dxa" w:w="2592"/>
            <w:shd w:fill="FFFFFF"/>
            <w:tcMar>
              <w:top w:w="60" w:type="dxa"/>
              <w:bottom w:w="60" w:type="dxa"/>
              <w:left w:w="80" w:type="dxa"/>
              <w:right w:w="80" w:type="dxa"/>
            </w:tcMar>
          </w:tcPr>
          <w:p>
            <w:r>
              <w:rPr>
                <w:sz w:val="16"/>
              </w:rPr>
              <w:t>Completed excavation, RCC, erection, stringing</w:t>
            </w:r>
          </w:p>
        </w:tc>
        <w:tc>
          <w:tcPr>
            <w:tcW w:type="dxa" w:w="2880"/>
            <w:shd w:fill="FFFFFF"/>
            <w:tcMar>
              <w:top w:w="60" w:type="dxa"/>
              <w:bottom w:w="60" w:type="dxa"/>
              <w:left w:w="80" w:type="dxa"/>
              <w:right w:w="80" w:type="dxa"/>
            </w:tcMar>
          </w:tcPr>
          <w:p>
            <w:r>
              <w:rPr>
                <w:sz w:val="16"/>
              </w:rPr>
              <w:t>Signed jointly with Utility Site Engineer; primary backup for monthly billing</w:t>
            </w:r>
          </w:p>
        </w:tc>
      </w:tr>
    </w:tbl>
    <w:p>
      <w:pPr>
        <w:spacing w:before="120" w:after="40"/>
      </w:pPr>
      <w:r>
        <w:rPr>
          <w:b/>
          <w:color w:val="1E293B"/>
          <w:sz w:val="17"/>
        </w:rPr>
        <w:t>Ongoing Maintenance &amp; System Audit Responsibilities:</w:t>
      </w:r>
    </w:p>
    <w:p>
      <w:pPr>
        <w:pStyle w:val="ListBullet"/>
        <w:spacing w:after="40"/>
      </w:pPr>
      <w:r>
        <w:rPr>
          <w:color w:val="1E293B"/>
          <w:sz w:val="16"/>
        </w:rPr>
        <w:t>Log daily gang manpower, machine utilization, weather hindrances, and executed quantities.</w:t>
      </w:r>
    </w:p>
    <w:p>
      <w:pPr>
        <w:pStyle w:val="ListBullet"/>
        <w:spacing w:after="40"/>
      </w:pPr>
      <w:r>
        <w:rPr>
          <w:color w:val="1E293B"/>
          <w:sz w:val="16"/>
        </w:rPr>
        <w:t>Maintain concrete cube test registers (7-day and 28-day compressive strengths).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