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2563EB"/>
          <w:sz w:val="20"/>
        </w:rPr>
        <w:t>APAR INDUSTRIES LIMITED — EPC INFRASTRUCTURE PMO</w:t>
        <w:br/>
      </w:r>
      <w:r>
        <w:rPr>
          <w:b/>
          <w:color w:val="0F172A"/>
          <w:sz w:val="30"/>
        </w:rPr>
        <w:t>IN-HOUSE PMO TOOL: MODULE-WISE DOCUMENTATION &amp; UI FEATURE MATRIX</w:t>
      </w:r>
    </w:p>
    <w:p>
      <w:pPr>
        <w:spacing w:after="200"/>
      </w:pPr>
      <w:r>
        <w:rPr>
          <w:i/>
          <w:color w:val="475569"/>
          <w:sz w:val="19"/>
        </w:rPr>
        <w:t>Standardized 4-Column Governance Structure for HTLS (GETCO 414) &amp; OPGW (KPTCL) Projects</w:t>
        <w:br/>
        <w:t>Document Ref: APAR-PMO-SOP-2026-SIMPLIFIED | Version 5.0</w:t>
      </w:r>
    </w:p>
    <w:p>
      <w:pPr>
        <w:spacing w:after="200"/>
      </w:pPr>
      <w:r>
        <w:rPr>
          <w:color w:val="1E293B"/>
          <w:sz w:val="18"/>
        </w:rPr>
        <w:t>Simplified Table Structure: As per management directive, all documentation requirements and system capabilities are consolidated strictly into four core columns across all modules: Module Name, Lead Owner, Primary Documentation Scope, and Specific Screen &amp; UI Features.</w:t>
      </w:r>
    </w:p>
    <w:p>
      <w:pPr>
        <w:pStyle w:val="Heading1"/>
        <w:spacing w:before="240" w:after="120"/>
      </w:pPr>
      <w:r>
        <w:rPr>
          <w:color w:val="0F172A"/>
          <w:sz w:val="24"/>
        </w:rPr>
        <w:t>1. Master Simplified Module &amp; Feature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0F172A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Module Name</w:t>
            </w:r>
          </w:p>
        </w:tc>
        <w:tc>
          <w:tcPr>
            <w:tcW w:type="dxa" w:w="1872"/>
            <w:shd w:fill="0F172A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Lead Owner</w:t>
            </w:r>
          </w:p>
        </w:tc>
        <w:tc>
          <w:tcPr>
            <w:tcW w:type="dxa" w:w="3024"/>
            <w:shd w:fill="0F172A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Primary Documentation Scope</w:t>
            </w:r>
          </w:p>
        </w:tc>
        <w:tc>
          <w:tcPr>
            <w:tcW w:type="dxa" w:w="2880"/>
            <w:shd w:fill="0F172A"/>
            <w:tcMar>
              <w:top w:w="90" w:type="dxa"/>
              <w:bottom w:w="9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Specific Screen &amp; UI Features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6"/>
              </w:rPr>
              <w:t>1. L1 / LOI / LOA / Contract Agreement / Bank Guarantees Module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Mr. Nilesh Tiwari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L1 Intimation &amp; Price Bid Evaluation</w:t>
              <w:br/>
              <w:t>• Letter of Award (LOA) / Letter of Intent (LOI)</w:t>
              <w:br/>
              <w:t>• Formal Signed Contract Agreement</w:t>
              <w:br/>
              <w:t>• Authorized Client Mother BOQ Schedule</w:t>
              <w:br/>
              <w:t>• Contract Performance BG (CPBG)</w:t>
              <w:br/>
              <w:t>• Advance Payment BG (APBG)</w:t>
              <w:br/>
              <w:t>• Contract Amendments, Addendums &amp; Variations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Stage 0 Bidding Win/Loss status card</w:t>
              <w:br/>
              <w:t>• LOA Ingestion modal &amp; Award acceptance form</w:t>
              <w:br/>
              <w:t>• Client Mother BOQ Dynamic Grid (N arbitrary line items)</w:t>
              <w:br/>
              <w:t>• BG Tracker with 60/30/15-day automated expiry alerts</w:t>
              <w:br/>
              <w:t>• Scope Addendum &amp; Variation Order ledger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6"/>
              </w:rPr>
              <w:t>2. Golden Activity Period Module (30+60 Days to Ground Break)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Mr. Rakesh Sinha /</w:t>
              <w:br/>
              <w:t>Mr. Suvesh Pahwa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30-Day Pre-LOA Readiness Checklist &amp; Risk Register</w:t>
              <w:br/>
              <w:t>• 60-Day Golden Period Master Action Plan</w:t>
              <w:br/>
              <w:t>• Advance Manufacturing Clearance (Conductor &amp; Stubs)</w:t>
              <w:br/>
              <w:t>• CEIG Statutory Electrical Scheme Approval</w:t>
              <w:br/>
              <w:t>• Principal Employer Form V &amp; CLRA Labour License</w:t>
              <w:br/>
              <w:t>• Central Site Store Readiness Sign-off Certificate</w:t>
              <w:br/>
              <w:t>• 60-Day Ground Break Gate Sign-off Certificate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60-Day Live Countdown Progress Banner</w:t>
              <w:br/>
              <w:t>• Readiness Gate Checklist (BRD 2.1 to 2.10 interlocks)</w:t>
              <w:br/>
              <w:t>• Dynamic BOQ Item Advance Allocation Cards</w:t>
              <w:br/>
              <w:t>• Statutory Compliance Vault (CEIG &amp; Form V upload)</w:t>
              <w:br/>
              <w:t>• Central Store Infrastructure Audit Checklist</w:t>
              <w:br/>
              <w:t>• Gate Interlock Engine (Blocks DPR #01 until 100% green)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6"/>
              </w:rPr>
              <w:t>3. Construction Dashboard Module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Mr. Rakesh Sinha /</w:t>
              <w:br/>
              <w:t>Mr. Suvesh Pahwa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WBS L2 Master Baseline Project Schedule</w:t>
              <w:br/>
              <w:t>• Daily Progress Reports (DPRs - Civil, Erection, Stringing, Splicing)</w:t>
              <w:br/>
              <w:t>• Quality Check Sheets (QCS - Pit, Concreting, Torque, Sagging)</w:t>
              <w:br/>
              <w:t>• Joint Measurement Certificates (JMC)</w:t>
              <w:br/>
              <w:t>• Pre-Commissioning Test Protocols (HTLS / OTDR for OPGW)</w:t>
              <w:br/>
              <w:t>• Taking Over Certificate (TOC) / Operational Handover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Interactive L2 Gantt Engine with Critical Path tracking</w:t>
              <w:br/>
              <w:t>• Multi-gang DPR Form (Civil/Erection/HTLS Stringing/OPGW)</w:t>
              <w:br/>
              <w:t>• Dual-sign JMC Attachment Modal (APAR + Utility AE)</w:t>
              <w:br/>
              <w:t>• QCS Field Quality Matrix (Cube test, Torque, Sag logs)</w:t>
              <w:br/>
              <w:t>• KPTCL OTDR Attenuation Loss Log Vault (≤0.21 dB/km)</w:t>
              <w:br/>
              <w:t>• TOC Operational Handover Certificate Sign-off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6"/>
              </w:rPr>
              <w:t>4. Procurement Module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Mr. Anand Raval /</w:t>
              <w:br/>
              <w:t>Mr. Sanjay Sharma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Quotation Comparison Statement (QCS)</w:t>
              <w:br/>
              <w:t>• Supplier Purchase Orders (PO) &amp; Internal Plant LOIs</w:t>
              <w:br/>
              <w:t>• Factory Inspection Call Notices</w:t>
              <w:br/>
              <w:t>• Factory Acceptance Test (FAT) Reports &amp; MTC Certificates</w:t>
              <w:br/>
              <w:t>• Client Dispatch Instructions (DI)</w:t>
              <w:br/>
              <w:t>• Delivery Proofs, Lorry Receipts (LR) &amp; E-Way Bills</w:t>
              <w:br/>
              <w:t>• Supplier &amp; Labour Gang Invoices with Ageing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QCS Commercial Bid Evaluator (Compares 3+ vendor quotes)</w:t>
              <w:br/>
              <w:t>• PO Generator locked strictly to Mother BOQ item balances</w:t>
              <w:br/>
              <w:t>• Joint FAT Inspection Scheduler &amp; Nomination Tracker</w:t>
              <w:br/>
              <w:t>• Official Client DI Register &amp; Truck Gate Clearance</w:t>
              <w:br/>
              <w:t>• Transporter Proof Vault (LR, weighbridge slips &amp; e-way bills)</w:t>
              <w:br/>
              <w:t>• 30/60/90-Day Subcontractor &amp; Vendor Payables Ageing Grid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6"/>
              </w:rPr>
              <w:t>5. Credit Control Module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Mr. Arnab Bose /</w:t>
              <w:br/>
              <w:t>Mr. Piyush Shah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Client Running Account (RA) Tax Invoices</w:t>
              <w:br/>
              <w:t>• Invoicing to Collections Mapping &amp; Reconciliation Sheet</w:t>
              <w:br/>
              <w:t>• Payment Ageing MIS (Not Due, Due 1-30, 31-60, &gt;90 Days)</w:t>
              <w:br/>
              <w:t>• Bill-wise &amp; Project-wise Receivables MIS</w:t>
              <w:br/>
              <w:t>• Client Payment Advices &amp; Deductions Reconciliation</w:t>
              <w:br/>
              <w:t>• Contractual Billing Milestones Compliance MIS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Milestone Tax Invoice Generator (Supply 70%/Erection 20%/TOC 10%)</w:t>
              <w:br/>
              <w:t>• Real-time Collection FIFO Mapping Ledger (Principal &amp; GST)</w:t>
              <w:br/>
              <w:t>• Debtor Ageing Filter Tabs (Not Due, 1-30, 31-60, &gt;90 Days)</w:t>
              <w:br/>
              <w:t>• Deductions &amp; Liquidated Damages (LD) Reconciliation Card</w:t>
              <w:br/>
              <w:t>• Client Billing Milestone Realization Velocity Tracker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6"/>
              </w:rPr>
              <w:t>6. Finance Module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Mr. Milind Soni /</w:t>
              <w:br/>
              <w:t>Mr. Piyush Gohil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Baseline Cost Budget (CBS - Cost Breakdown Structure)</w:t>
              <w:br/>
              <w:t>• Project-wise Unbilled Revenue MIS (Delivered &amp; WIP)</w:t>
              <w:br/>
              <w:t>• Creditors MIS &amp; Trade Payables Ageing Schedule</w:t>
              <w:br/>
              <w:t>• Bid vs Actual Profitability Variance Analysis Report</w:t>
              <w:br/>
              <w:t>• Business Working Capital GFI &amp; NFI Days Working Sheet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Cost Breakdown Structure (CBS) Baseline Budget Ledger</w:t>
              <w:br/>
              <w:t>• Unbilled WIP &amp; Delivered Material Revenue Tracker</w:t>
              <w:br/>
              <w:t>• Creditor Trade Payables Ageing &amp; Outflow Schedule</w:t>
              <w:br/>
              <w:t>• Budget vs Actual Cost Variance Analyzer (Material/Labour/Logistics)</w:t>
              <w:br/>
              <w:t>• Automated Working Capital GFI &amp; NFI Day Computation Engine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6"/>
              </w:rPr>
              <w:t>7. Document Management System Module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Mr. Kamal Gandhi</w:t>
            </w:r>
          </w:p>
        </w:tc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Time Limit Extension (EOT) Claim Packages</w:t>
              <w:br/>
              <w:t>• Notice of Delay Events &amp; Force Majeure Intimations</w:t>
              <w:br/>
              <w:t>• Permit to Work (PTW) / Grid Outage Shutdown Sanctions</w:t>
              <w:br/>
              <w:t>• Subcontractor, Plant &amp; Gang Idling Claims</w:t>
              <w:br/>
              <w:t>• Project Correspondence Register &amp; Master Transmittals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Contractual Delay Impact Assessment Engine</w:t>
              <w:br/>
              <w:t>• Notice Deadline Expiry Warnings (Preserves 7/14-day notice rights)</w:t>
              <w:br/>
              <w:t>• PTW Live-Line Grid Outage Permit Vault (Mandatory for stringing)</w:t>
              <w:br/>
              <w:t>• Idle Plant &amp; Subcontractor Log Sheet Attacher</w:t>
              <w:br/>
              <w:t>• Central Master Document Register (MDR), Transmittals &amp; CRS Sheets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6"/>
              </w:rPr>
              <w:t>8. Inventory Management Module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Mr. Gopal Nair /</w:t>
              <w:br/>
              <w:t>Mr. Sunil Mishra</w:t>
            </w:r>
          </w:p>
        </w:tc>
        <w:tc>
          <w:tcPr>
            <w:tcW w:type="dxa" w:w="302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Daily Stock Ledger &amp; Digital Bin Cards</w:t>
              <w:br/>
              <w:t>• Monthly Material Reconciliation Reports (MRR)</w:t>
              <w:br/>
              <w:t>• Stock Transfer Orders (STO) &amp; Inter-Project Transfer Manifests</w:t>
              <w:br/>
              <w:t>• Tools &amp; Plants (T&amp;P) Inventory Asset Register</w:t>
              <w:br/>
              <w:t>• Tension Stringing Equipment (TSE) Machinery Logs</w:t>
              <w:br/>
              <w:t>• Scrap, Salvage &amp; Surplus Material Disposal Certificates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Digital Bin Card Ledger with real-time inward/issue balances</w:t>
              <w:br/>
              <w:t>• 3-Way Inwarding Verification Engine (Challan + DI + E-Way Bill)</w:t>
              <w:br/>
              <w:t>• Monthly Physical vs JMC Material Balancing Engine</w:t>
              <w:br/>
              <w:t>• Dual-Confirmation Inter-Project Stock Transfer (STO) Form</w:t>
              <w:br/>
              <w:t>• Tension Stringing Equipment (TSE) Machinery &amp; Calibration Log</w:t>
            </w:r>
          </w:p>
        </w:tc>
      </w:tr>
    </w:tbl>
    <w:p>
      <w:pPr>
        <w:pStyle w:val="Heading1"/>
        <w:spacing w:before="320" w:after="120"/>
      </w:pPr>
      <w:r>
        <w:rPr>
          <w:color w:val="0F172A"/>
          <w:sz w:val="24"/>
        </w:rPr>
        <w:t>2. Granular Module-Wise Tables (Strict 4-Column Format)</w:t>
      </w:r>
    </w:p>
    <w:p>
      <w:pPr>
        <w:pStyle w:val="Heading2"/>
        <w:spacing w:before="200" w:after="40"/>
      </w:pPr>
      <w:r>
        <w:rPr>
          <w:color w:val="2563EB"/>
          <w:sz w:val="20"/>
        </w:rPr>
        <w:t>Module 01: L1 / LOI / LOA / Contract Agreement / Bank Guarantees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Module Name</w:t>
            </w:r>
          </w:p>
        </w:tc>
        <w:tc>
          <w:tcPr>
            <w:tcW w:type="dxa" w:w="187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Lead Owner</w:t>
            </w:r>
          </w:p>
        </w:tc>
        <w:tc>
          <w:tcPr>
            <w:tcW w:type="dxa" w:w="3024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Primary Documentation Scope</w:t>
            </w:r>
          </w:p>
        </w:tc>
        <w:tc>
          <w:tcPr>
            <w:tcW w:type="dxa" w:w="2880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Specific Screen &amp; UI Features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Module 01: L1 / LOI / LOA / Contract Agreement / Bank Guarantees Module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Mr. Nilesh Tiwari</w:t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L1 Intimation &amp; Price Bid Evaluation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Stage 0 Bidding Win/Loss status card &amp; evaluation report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Letter of Award (LOA) / Letter of Intent (LOI)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LOA Ingestion modal &amp; Award acceptance form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Formal Signed Contract Agreement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Contract Master Record &amp; Execution metadata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Authorized Client Mother BOQ Schedule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Client Mother BOQ Dynamic Grid (N arbitrary line items)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Contract Performance Bank Guarantee (CPBG)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BG Tracker with 60/30/15-day automated expiry alerts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Advance Payment Bank Guarantee (APBG)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APBG Progressive Mobilization Recovery Ledger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Contract Amendments, Addendums &amp; Variations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Scope Addendum &amp; Variation Order ledger</w:t>
            </w:r>
          </w:p>
        </w:tc>
      </w:tr>
    </w:tbl>
    <w:p>
      <w:pPr>
        <w:pStyle w:val="Heading2"/>
        <w:spacing w:before="200" w:after="40"/>
      </w:pPr>
      <w:r>
        <w:rPr>
          <w:color w:val="2563EB"/>
          <w:sz w:val="20"/>
        </w:rPr>
        <w:t>Module 02: Golden Activity Period Module (30+60 Days to Ground Break)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Module Name</w:t>
            </w:r>
          </w:p>
        </w:tc>
        <w:tc>
          <w:tcPr>
            <w:tcW w:type="dxa" w:w="187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Lead Owner</w:t>
            </w:r>
          </w:p>
        </w:tc>
        <w:tc>
          <w:tcPr>
            <w:tcW w:type="dxa" w:w="3024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Primary Documentation Scope</w:t>
            </w:r>
          </w:p>
        </w:tc>
        <w:tc>
          <w:tcPr>
            <w:tcW w:type="dxa" w:w="2880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Specific Screen &amp; UI Features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Module 02: Golden Activity Period Module (30+60 Days to Ground Break)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Mr. Rakesh Sinha /</w:t>
              <w:br/>
              <w:t>Mr. Suvesh Pahwa</w:t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30-Day Pre-LOA Readiness Checklist &amp; Risk Register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Pre-LOA Risk Matrix &amp; Subcontractor Readiness Card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60-Day Golden Period Master Action Plan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60-Day Live Countdown Progress Banner &amp; Milestone tracker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Advance Manufacturing Clearance (Conductor &amp; Stubs)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Dynamic BOQ Item Advance Allocation Cards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CEIG Statutory Electrical Scheme Approval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Statutory Compliance Vault (CEIG &amp; Scheme Approval upload)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Principal Employer Form V &amp; CLRA Labour License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Labour Compliance Tab (Form V &amp; 150-Workmen CLRA license)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Central Site Store Readiness Sign-off Certificate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Central Store Infrastructure Audit Checklist (5-acre yard, fence, crane)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60-Day Ground Break Gate Sign-off Certificate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Gate Interlock Engine (Blocks DPR #01 until 100% green)</w:t>
            </w:r>
          </w:p>
        </w:tc>
      </w:tr>
    </w:tbl>
    <w:p>
      <w:pPr>
        <w:pStyle w:val="Heading2"/>
        <w:spacing w:before="200" w:after="40"/>
      </w:pPr>
      <w:r>
        <w:rPr>
          <w:color w:val="2563EB"/>
          <w:sz w:val="20"/>
        </w:rPr>
        <w:t>Module 03: Construction Dashboard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Module Name</w:t>
            </w:r>
          </w:p>
        </w:tc>
        <w:tc>
          <w:tcPr>
            <w:tcW w:type="dxa" w:w="187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Lead Owner</w:t>
            </w:r>
          </w:p>
        </w:tc>
        <w:tc>
          <w:tcPr>
            <w:tcW w:type="dxa" w:w="3024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Primary Documentation Scope</w:t>
            </w:r>
          </w:p>
        </w:tc>
        <w:tc>
          <w:tcPr>
            <w:tcW w:type="dxa" w:w="2880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Specific Screen &amp; UI Features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Module 03: Construction Dashboard Module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Mr. Rakesh Sinha /</w:t>
              <w:br/>
              <w:t>Mr. Suvesh Pahwa</w:t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WBS L2 Master Baseline Project Schedule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Interactive L2 Gantt Engine with Critical Path tracking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Daily Progress Reports (DPRs - Civil, Erection, Stringing, Splicing)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Multi-gang DPR Form (Civil/Erection/HTLS Stringing/OPGW)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Quality Check Sheets (QCS - Pit, Concreting, Torque, Sagging)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QCS Field Quality Matrix (Cube test, Torque, Sag logs)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Joint Measurement Certificates (JMC)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Dual-sign JMC Attachment Modal (APAR + Utility AE)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Pre-Commissioning Test Protocols (HTLS / OTDR for OPGW)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KPTCL OTDR Attenuation Loss Log Vault (≤0.21 dB/km) &amp; Pre-charging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Taking Over Certificate (TOC) / Operational Handover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TOC Operational Handover Certificate Sign-off</w:t>
            </w:r>
          </w:p>
        </w:tc>
      </w:tr>
    </w:tbl>
    <w:p>
      <w:pPr>
        <w:pStyle w:val="Heading2"/>
        <w:spacing w:before="200" w:after="40"/>
      </w:pPr>
      <w:r>
        <w:rPr>
          <w:color w:val="2563EB"/>
          <w:sz w:val="20"/>
        </w:rPr>
        <w:t>Module 04: Procurement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Module Name</w:t>
            </w:r>
          </w:p>
        </w:tc>
        <w:tc>
          <w:tcPr>
            <w:tcW w:type="dxa" w:w="187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Lead Owner</w:t>
            </w:r>
          </w:p>
        </w:tc>
        <w:tc>
          <w:tcPr>
            <w:tcW w:type="dxa" w:w="3024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Primary Documentation Scope</w:t>
            </w:r>
          </w:p>
        </w:tc>
        <w:tc>
          <w:tcPr>
            <w:tcW w:type="dxa" w:w="2880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Specific Screen &amp; UI Features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Module 04: Procurement Module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Mr. Anand Raval /</w:t>
              <w:br/>
              <w:t>Mr. Sanjay Sharma</w:t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Quotation Comparison Statement (QCS)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QCS Commercial Bid Evaluator (Compares 3+ vendor quotes)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Supplier Purchase Orders (PO) &amp; Internal Plant LOIs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PO Generator locked strictly to Mother BOQ item balances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Factory Inspection Call Notices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Joint FAT Inspection Scheduler &amp; Nomination Tracker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Factory Acceptance Test (FAT) Reports &amp; MTC Certificates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FAT Mapping Card (Validates UTS, resistance, galvanizing)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Client Dispatch Instructions (DI)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Official Client DI Register &amp; Truck Gate Clearance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Delivery Proofs, Lorry Receipts (LR) &amp; E-Way Bills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Transporter Proof Vault (LR, weighbridge slips &amp; e-way bills)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Supplier &amp; Labour Gang Invoices with Ageing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30/60/90-Day Subcontractor &amp; Vendor Payables Ageing Grid</w:t>
            </w:r>
          </w:p>
        </w:tc>
      </w:tr>
    </w:tbl>
    <w:p>
      <w:pPr>
        <w:pStyle w:val="Heading2"/>
        <w:spacing w:before="200" w:after="40"/>
      </w:pPr>
      <w:r>
        <w:rPr>
          <w:color w:val="2563EB"/>
          <w:sz w:val="20"/>
        </w:rPr>
        <w:t>Module 05: Credit Control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Module Name</w:t>
            </w:r>
          </w:p>
        </w:tc>
        <w:tc>
          <w:tcPr>
            <w:tcW w:type="dxa" w:w="187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Lead Owner</w:t>
            </w:r>
          </w:p>
        </w:tc>
        <w:tc>
          <w:tcPr>
            <w:tcW w:type="dxa" w:w="3024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Primary Documentation Scope</w:t>
            </w:r>
          </w:p>
        </w:tc>
        <w:tc>
          <w:tcPr>
            <w:tcW w:type="dxa" w:w="2880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Specific Screen &amp; UI Features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Module 05: Credit Control Module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Mr. Arnab Bose /</w:t>
              <w:br/>
              <w:t>Mr. Piyush Shah</w:t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Client Running Account (RA) Tax Invoices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Milestone Tax Invoice Generator (Supply 70%/Erection 20%/TOC 10%)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Invoicing to Collections Mapping &amp; Reconciliation Sheet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Real-time Collection FIFO Mapping Ledger (Principal &amp; GST)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Payment Ageing MIS (Not Due, Due 1-30, 31-60, &gt;90 Days)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Debtor Ageing Filter Tabs (Not Due, 1-30, 31-60, &gt;90 Days)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Bill-wise &amp; Project-wise Receivables MIS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Receivables Velocity Card &amp; Project-wise Realization MIS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Client Payment Advices &amp; Deductions Reconciliation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Deductions &amp; Liquidated Damages (LD) Reconciliation Card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Contractual Billing Milestones Compliance MIS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Client Billing Milestone Realization Velocity Tracker</w:t>
            </w:r>
          </w:p>
        </w:tc>
      </w:tr>
    </w:tbl>
    <w:p>
      <w:pPr>
        <w:pStyle w:val="Heading2"/>
        <w:spacing w:before="200" w:after="40"/>
      </w:pPr>
      <w:r>
        <w:rPr>
          <w:color w:val="2563EB"/>
          <w:sz w:val="20"/>
        </w:rPr>
        <w:t>Module 06: Finance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Module Name</w:t>
            </w:r>
          </w:p>
        </w:tc>
        <w:tc>
          <w:tcPr>
            <w:tcW w:type="dxa" w:w="187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Lead Owner</w:t>
            </w:r>
          </w:p>
        </w:tc>
        <w:tc>
          <w:tcPr>
            <w:tcW w:type="dxa" w:w="3024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Primary Documentation Scope</w:t>
            </w:r>
          </w:p>
        </w:tc>
        <w:tc>
          <w:tcPr>
            <w:tcW w:type="dxa" w:w="2880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Specific Screen &amp; UI Features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Module 06: Finance Module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Mr. Milind Soni /</w:t>
              <w:br/>
              <w:t>Mr. Piyush Gohil</w:t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Baseline Cost Budget (CBS - Cost Breakdown Structure)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Cost Breakdown Structure (CBS) Baseline Budget Ledger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Project-wise Unbilled Revenue MIS (Delivered &amp; WIP)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Unbilled WIP &amp; Delivered Material Revenue Tracker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Creditors MIS &amp; Trade Payables Ageing Schedule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Creditor Trade Payables Ageing &amp; Outflow Schedule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Bid vs Actual Profitability Variance Analysis Report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Budget vs Actual Cost Variance Analyzer (Material/Labour/Logistics)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Business Working Capital GFI &amp; NFI Days Working Sheet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Automated Working Capital GFI &amp; NFI Day Computation Engine</w:t>
            </w:r>
          </w:p>
        </w:tc>
      </w:tr>
    </w:tbl>
    <w:p>
      <w:pPr>
        <w:pStyle w:val="Heading2"/>
        <w:spacing w:before="200" w:after="40"/>
      </w:pPr>
      <w:r>
        <w:rPr>
          <w:color w:val="2563EB"/>
          <w:sz w:val="20"/>
        </w:rPr>
        <w:t>Module 07: Document Management System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Module Name</w:t>
            </w:r>
          </w:p>
        </w:tc>
        <w:tc>
          <w:tcPr>
            <w:tcW w:type="dxa" w:w="187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Lead Owner</w:t>
            </w:r>
          </w:p>
        </w:tc>
        <w:tc>
          <w:tcPr>
            <w:tcW w:type="dxa" w:w="3024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Primary Documentation Scope</w:t>
            </w:r>
          </w:p>
        </w:tc>
        <w:tc>
          <w:tcPr>
            <w:tcW w:type="dxa" w:w="2880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Specific Screen &amp; UI Features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Module 07: Document Management System Module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Mr. Kamal Gandhi</w:t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Time Limit Extension (EOT) Claim Packages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Contractual Delay Impact Assessment Engine &amp; L2 Impact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Notice of Delay Events &amp; Force Majeure Intimations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Notice Deadline Expiry Warnings (Preserves 7/14-day notice rights)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Permit to Work (PTW) / Grid Outage Shutdown Sanctions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PTW Live-Line Grid Outage Permit Vault (Mandatory for stringing)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Subcontractor, Plant &amp; Gang Idling Claims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Idle Plant &amp; Subcontractor Log Sheet Attacher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Project Correspondence Register &amp; Master Transmittals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Central Master Document Register (MDR), Transmittals &amp; CRS Sheets</w:t>
            </w:r>
          </w:p>
        </w:tc>
      </w:tr>
    </w:tbl>
    <w:p>
      <w:pPr>
        <w:pStyle w:val="Heading2"/>
        <w:spacing w:before="200" w:after="40"/>
      </w:pPr>
      <w:r>
        <w:rPr>
          <w:color w:val="2563EB"/>
          <w:sz w:val="20"/>
        </w:rPr>
        <w:t>Module 08: Inventory Management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Module Name</w:t>
            </w:r>
          </w:p>
        </w:tc>
        <w:tc>
          <w:tcPr>
            <w:tcW w:type="dxa" w:w="1872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Lead Owner</w:t>
            </w:r>
          </w:p>
        </w:tc>
        <w:tc>
          <w:tcPr>
            <w:tcW w:type="dxa" w:w="3024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Primary Documentation Scope</w:t>
            </w:r>
          </w:p>
        </w:tc>
        <w:tc>
          <w:tcPr>
            <w:tcW w:type="dxa" w:w="2880"/>
            <w:shd w:fill="1E293B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6"/>
              </w:rPr>
              <w:t>Specific Screen &amp; UI Features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Module 08: Inventory Management Module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5"/>
              </w:rPr>
              <w:t>Mr. Gopal Nair /</w:t>
              <w:br/>
              <w:t>Mr. Sunil Mishra</w:t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Daily Stock Ledger &amp; Digital Bin Cards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Digital Bin Card Ledger with real-time inward/issue balances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Monthly Material Reconciliation Reports (MRR)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Monthly Physical vs JMC Material Balancing Engine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Stock Transfer Orders (STO) &amp; Inter-Project Transfer Manifests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Dual-Confirmation Inter-Project Stock Transfer (STO) Form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Tools &amp; Plants (T&amp;P) Inventory Asset Register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T&amp;P Light Equipment &amp; Safety Gear Tracking Register</w:t>
            </w:r>
          </w:p>
        </w:tc>
      </w:tr>
      <w:tr>
        <w:tc>
          <w:tcPr>
            <w:tcW w:type="dxa" w:w="25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Tension Stringing Equipment (TSE) Machinery Logs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TSE Heavy Machinery Deployment &amp; Calibration Tracker</w:t>
            </w:r>
          </w:p>
        </w:tc>
      </w:tr>
      <w:tr>
        <w:tc>
          <w:tcPr>
            <w:tcW w:type="dxa" w:w="259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</w:r>
          </w:p>
        </w:tc>
        <w:tc>
          <w:tcPr>
            <w:tcW w:type="dxa" w:w="3024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5"/>
              </w:rPr>
              <w:t>Scrap, Salvage &amp; Surplus Material Disposal Certificates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5"/>
              </w:rPr>
              <w:t>Scrap &amp; Empty Wooden Drum Disposal Sign-off Form</w:t>
            </w:r>
          </w:p>
        </w:tc>
      </w:tr>
    </w:tbl>
    <w:p>
      <w:r>
        <w:br w:type="page"/>
      </w:r>
    </w:p>
    <w:p>
      <w:pPr>
        <w:pStyle w:val="Heading1"/>
        <w:spacing w:before="280" w:after="160"/>
      </w:pPr>
      <w:r>
        <w:rPr>
          <w:color w:val="0F172A"/>
          <w:sz w:val="24"/>
        </w:rPr>
        <w:t>3. Operational Governance &amp; Lead Owner Implementation Sign-Off</w:t>
      </w:r>
    </w:p>
    <w:p>
      <w:r>
        <w:rPr>
          <w:sz w:val="18"/>
        </w:rPr>
        <w:t>By signing below, each designated module lead confirms agreement with the defined 4-column documentation and UI feature mapping for deployment across HTLS (GETCO 414) and OPGW (KPTCL)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0F172A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Module Name</w:t>
            </w:r>
          </w:p>
        </w:tc>
        <w:tc>
          <w:tcPr>
            <w:tcW w:type="dxa" w:w="2880"/>
            <w:shd w:fill="0F172A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Lead Owner</w:t>
            </w:r>
          </w:p>
        </w:tc>
        <w:tc>
          <w:tcPr>
            <w:tcW w:type="dxa" w:w="2592"/>
            <w:shd w:fill="0F172A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Signature</w:t>
            </w:r>
          </w:p>
        </w:tc>
        <w:tc>
          <w:tcPr>
            <w:tcW w:type="dxa" w:w="2304"/>
            <w:shd w:fill="0F172A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1. Commercial &amp; BGs Module</w:t>
            </w:r>
          </w:p>
        </w:tc>
        <w:tc>
          <w:tcPr>
            <w:tcW w:type="dxa" w:w="2880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Mr. Nilesh Tiwari</w:t>
            </w:r>
          </w:p>
        </w:tc>
        <w:tc>
          <w:tcPr>
            <w:tcW w:type="dxa" w:w="2592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  <w:tc>
          <w:tcPr>
            <w:tcW w:type="dxa" w:w="2304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2. Golden Activity Period Module</w:t>
            </w:r>
          </w:p>
        </w:tc>
        <w:tc>
          <w:tcPr>
            <w:tcW w:type="dxa" w:w="2880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Mr. Rakesh Sinha / Mr. Suvesh Pahwa</w:t>
            </w:r>
          </w:p>
        </w:tc>
        <w:tc>
          <w:tcPr>
            <w:tcW w:type="dxa" w:w="2592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  <w:tc>
          <w:tcPr>
            <w:tcW w:type="dxa" w:w="2304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3. Construction Dashboard Module</w:t>
            </w:r>
          </w:p>
        </w:tc>
        <w:tc>
          <w:tcPr>
            <w:tcW w:type="dxa" w:w="2880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Mr. Rakesh Sinha / Mr. Suvesh Pahwa</w:t>
            </w:r>
          </w:p>
        </w:tc>
        <w:tc>
          <w:tcPr>
            <w:tcW w:type="dxa" w:w="2592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  <w:tc>
          <w:tcPr>
            <w:tcW w:type="dxa" w:w="2304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4. Procurement Module</w:t>
            </w:r>
          </w:p>
        </w:tc>
        <w:tc>
          <w:tcPr>
            <w:tcW w:type="dxa" w:w="2880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Mr. Anand Raval / Mr. Sanjay Sharma</w:t>
            </w:r>
          </w:p>
        </w:tc>
        <w:tc>
          <w:tcPr>
            <w:tcW w:type="dxa" w:w="2592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  <w:tc>
          <w:tcPr>
            <w:tcW w:type="dxa" w:w="2304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5. Credit Control Module</w:t>
            </w:r>
          </w:p>
        </w:tc>
        <w:tc>
          <w:tcPr>
            <w:tcW w:type="dxa" w:w="2880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Mr. Arnab Bose / Mr. Piyush Shah</w:t>
            </w:r>
          </w:p>
        </w:tc>
        <w:tc>
          <w:tcPr>
            <w:tcW w:type="dxa" w:w="2592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  <w:tc>
          <w:tcPr>
            <w:tcW w:type="dxa" w:w="2304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6. Finance Module</w:t>
            </w:r>
          </w:p>
        </w:tc>
        <w:tc>
          <w:tcPr>
            <w:tcW w:type="dxa" w:w="2880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Mr. Milind Soni / Mr. Piyush Gohil</w:t>
            </w:r>
          </w:p>
        </w:tc>
        <w:tc>
          <w:tcPr>
            <w:tcW w:type="dxa" w:w="2592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  <w:tc>
          <w:tcPr>
            <w:tcW w:type="dxa" w:w="2304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7. Document Management System</w:t>
            </w:r>
          </w:p>
        </w:tc>
        <w:tc>
          <w:tcPr>
            <w:tcW w:type="dxa" w:w="2880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Mr. Kamal Gandhi</w:t>
            </w:r>
          </w:p>
        </w:tc>
        <w:tc>
          <w:tcPr>
            <w:tcW w:type="dxa" w:w="2592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  <w:tc>
          <w:tcPr>
            <w:tcW w:type="dxa" w:w="2304"/>
            <w:shd w:fill="FFFFFF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8. Inventory Management Module</w:t>
            </w:r>
          </w:p>
        </w:tc>
        <w:tc>
          <w:tcPr>
            <w:tcW w:type="dxa" w:w="2880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Mr. Gopal Nair / Mr. Sunil Mishra</w:t>
            </w:r>
          </w:p>
        </w:tc>
        <w:tc>
          <w:tcPr>
            <w:tcW w:type="dxa" w:w="2592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  <w:tc>
          <w:tcPr>
            <w:tcW w:type="dxa" w:w="2304"/>
            <w:shd w:fill="F8FAFC"/>
            <w:tcMar>
              <w:top w:w="120" w:type="dxa"/>
              <w:bottom w:w="12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</w:r>
          </w:p>
        </w:tc>
      </w:tr>
    </w:tbl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