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B1" w:rsidRDefault="00D378B1"/>
    <w:p w:rsidR="00113213" w:rsidRDefault="00113213" w:rsidP="00113213">
      <w:pPr>
        <w:pStyle w:val="Body"/>
        <w:tabs>
          <w:tab w:val="clear" w:pos="576"/>
          <w:tab w:val="left" w:pos="851"/>
        </w:tabs>
        <w:rPr>
          <w:spacing w:val="0"/>
        </w:rPr>
      </w:pPr>
      <w:r w:rsidRPr="00B20BF5">
        <w:rPr>
          <w:spacing w:val="0"/>
        </w:rPr>
        <w:t>A GIS based strip land use map has been developed to identify the land classification within the C4 corridor</w:t>
      </w:r>
      <w:r>
        <w:rPr>
          <w:spacing w:val="0"/>
        </w:rPr>
        <w:t xml:space="preserve"> </w:t>
      </w:r>
      <w:r w:rsidRPr="00483326">
        <w:rPr>
          <w:b/>
          <w:spacing w:val="0"/>
        </w:rPr>
        <w:t>(Annex 11).</w:t>
      </w:r>
      <w:r w:rsidRPr="00B20BF5">
        <w:rPr>
          <w:spacing w:val="0"/>
        </w:rPr>
        <w:t xml:space="preserve"> Agriculture is the major food supplier for the people living along the </w:t>
      </w:r>
      <w:r>
        <w:t>C4</w:t>
      </w:r>
      <w:r w:rsidRPr="00B20BF5">
        <w:rPr>
          <w:spacing w:val="0"/>
        </w:rPr>
        <w:t xml:space="preserve"> corridor. Local residents have encroached onto BR lands by planting shrubs, fruit trees and various vegetables. These will be removed during the widening of the embankment. Forest/vegetation covers </w:t>
      </w:r>
      <w:r>
        <w:rPr>
          <w:spacing w:val="0"/>
        </w:rPr>
        <w:t>3.75</w:t>
      </w:r>
      <w:r w:rsidRPr="00483326">
        <w:rPr>
          <w:spacing w:val="0"/>
        </w:rPr>
        <w:t xml:space="preserve">% and settlement </w:t>
      </w:r>
      <w:r>
        <w:rPr>
          <w:spacing w:val="0"/>
        </w:rPr>
        <w:t>21.30</w:t>
      </w:r>
      <w:r w:rsidRPr="00483326">
        <w:rPr>
          <w:spacing w:val="0"/>
        </w:rPr>
        <w:t xml:space="preserve">% of the corridor and </w:t>
      </w:r>
      <w:r>
        <w:rPr>
          <w:spacing w:val="0"/>
        </w:rPr>
        <w:t xml:space="preserve">rest of the land </w:t>
      </w:r>
      <w:proofErr w:type="gramStart"/>
      <w:r>
        <w:rPr>
          <w:spacing w:val="0"/>
        </w:rPr>
        <w:t xml:space="preserve">covers </w:t>
      </w:r>
      <w:r w:rsidRPr="00483326">
        <w:rPr>
          <w:spacing w:val="0"/>
        </w:rPr>
        <w:t xml:space="preserve"> by</w:t>
      </w:r>
      <w:proofErr w:type="gramEnd"/>
      <w:r w:rsidRPr="00483326">
        <w:rPr>
          <w:spacing w:val="0"/>
        </w:rPr>
        <w:t xml:space="preserve"> other uses</w:t>
      </w:r>
      <w:r w:rsidRPr="00B20BF5">
        <w:rPr>
          <w:spacing w:val="0"/>
        </w:rPr>
        <w:t>.</w:t>
      </w:r>
      <w:r>
        <w:rPr>
          <w:spacing w:val="0"/>
        </w:rPr>
        <w:t xml:space="preserve"> Table 26 reveal the land use classification with different component </w:t>
      </w:r>
      <w:r>
        <w:rPr>
          <w:spacing w:val="0"/>
        </w:rPr>
        <w:fldChar w:fldCharType="begin"/>
      </w:r>
      <w:r>
        <w:rPr>
          <w:spacing w:val="0"/>
        </w:rPr>
        <w:instrText xml:space="preserve"> REF _Ref3822121 \h </w:instrText>
      </w:r>
      <w:r>
        <w:rPr>
          <w:spacing w:val="0"/>
        </w:rPr>
      </w:r>
      <w:r>
        <w:rPr>
          <w:spacing w:val="0"/>
        </w:rPr>
        <w:fldChar w:fldCharType="separate"/>
      </w:r>
      <w:r>
        <w:t xml:space="preserve">Table </w:t>
      </w:r>
      <w:r>
        <w:rPr>
          <w:rFonts w:hint="eastAsia"/>
          <w:noProof/>
        </w:rPr>
        <w:t>25</w:t>
      </w:r>
      <w:r>
        <w:rPr>
          <w:spacing w:val="0"/>
        </w:rPr>
        <w:fldChar w:fldCharType="end"/>
      </w:r>
      <w:r>
        <w:rPr>
          <w:spacing w:val="0"/>
        </w:rPr>
        <w:t>.</w:t>
      </w:r>
    </w:p>
    <w:p w:rsidR="00113213" w:rsidRDefault="00113213" w:rsidP="00113213">
      <w:pPr>
        <w:pStyle w:val="Title"/>
        <w:rPr>
          <w:rFonts w:hint="eastAsia"/>
        </w:rPr>
      </w:pPr>
      <w:bookmarkStart w:id="0" w:name="_Ref3822121"/>
      <w:bookmarkStart w:id="1" w:name="_Toc38230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hint="eastAsia"/>
          <w:noProof/>
        </w:rPr>
        <w:t>25</w:t>
      </w:r>
      <w:r>
        <w:fldChar w:fldCharType="end"/>
      </w:r>
      <w:bookmarkEnd w:id="0"/>
      <w:r>
        <w:t xml:space="preserve"> </w:t>
      </w:r>
      <w:r w:rsidRPr="00464CBF">
        <w:t>Land use Classification within component 04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1774"/>
      </w:tblGrid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Land use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Percentage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</w:tcPr>
          <w:p w:rsidR="00113213" w:rsidRPr="00AD28C4" w:rsidRDefault="00113213" w:rsidP="00240657">
            <w:pPr>
              <w:rPr>
                <w:sz w:val="20"/>
              </w:rPr>
            </w:pPr>
            <w:r>
              <w:rPr>
                <w:sz w:val="20"/>
              </w:rPr>
              <w:t>Wet land</w:t>
            </w:r>
          </w:p>
        </w:tc>
        <w:tc>
          <w:tcPr>
            <w:tcW w:w="1774" w:type="dxa"/>
            <w:shd w:val="clear" w:color="auto" w:fill="auto"/>
            <w:noWrap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43.31</w:t>
            </w:r>
            <w:bookmarkStart w:id="2" w:name="_GoBack"/>
            <w:bookmarkEnd w:id="2"/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Agriculture Land Area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Bridge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0.04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bCs/>
                <w:sz w:val="20"/>
              </w:rPr>
            </w:pPr>
            <w:r w:rsidRPr="00AD28C4">
              <w:rPr>
                <w:bCs/>
                <w:sz w:val="20"/>
              </w:rPr>
              <w:t>Forest/Vegetation Area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3.75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Commercial Area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1.35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Industrial Area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0.25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Open Space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24.44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water body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5.50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Rail  Station/Area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0.07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Settlement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21.30</w:t>
            </w:r>
          </w:p>
        </w:tc>
      </w:tr>
      <w:tr w:rsidR="00113213" w:rsidRPr="00E521E2" w:rsidTr="00113213">
        <w:trPr>
          <w:trHeight w:val="427"/>
        </w:trPr>
        <w:tc>
          <w:tcPr>
            <w:tcW w:w="3292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Sub Total</w:t>
            </w:r>
          </w:p>
        </w:tc>
        <w:tc>
          <w:tcPr>
            <w:tcW w:w="1774" w:type="dxa"/>
            <w:shd w:val="clear" w:color="auto" w:fill="auto"/>
            <w:noWrap/>
            <w:hideMark/>
          </w:tcPr>
          <w:p w:rsidR="00113213" w:rsidRPr="00AD28C4" w:rsidRDefault="00113213" w:rsidP="00240657">
            <w:pPr>
              <w:rPr>
                <w:sz w:val="20"/>
              </w:rPr>
            </w:pPr>
            <w:r w:rsidRPr="00AD28C4">
              <w:rPr>
                <w:sz w:val="20"/>
              </w:rPr>
              <w:t>100</w:t>
            </w:r>
          </w:p>
        </w:tc>
      </w:tr>
    </w:tbl>
    <w:p w:rsidR="00113213" w:rsidRDefault="00113213"/>
    <w:p w:rsidR="00113213" w:rsidRDefault="00113213">
      <w:pPr>
        <w:rPr>
          <w:lang w:val="en-US"/>
        </w:rPr>
      </w:pPr>
      <w:r w:rsidRPr="008F3C95">
        <w:t>During the field visit the following bird</w:t>
      </w:r>
      <w:r>
        <w:t xml:space="preserve">s are seen along the rail line corridor. </w:t>
      </w:r>
      <w:r w:rsidRPr="008F3C95">
        <w:t xml:space="preserve">In this </w:t>
      </w:r>
      <w:r>
        <w:t>respects, local</w:t>
      </w:r>
      <w:r w:rsidRPr="008F3C95">
        <w:t xml:space="preserve"> people were interviewed and recorded their findings.</w:t>
      </w:r>
      <w:r>
        <w:t xml:space="preserve"> Recorded birds specie wer</w:t>
      </w:r>
      <w:r w:rsidRPr="008F3C95">
        <w:t xml:space="preserve">e </w:t>
      </w:r>
      <w:r>
        <w:rPr>
          <w:lang w:val="en-US"/>
        </w:rPr>
        <w:t>106 among them</w:t>
      </w:r>
      <w:r w:rsidRPr="008F3C95">
        <w:rPr>
          <w:lang w:val="en-US"/>
        </w:rPr>
        <w:t xml:space="preserve"> </w:t>
      </w:r>
      <w:r>
        <w:rPr>
          <w:lang w:val="en-US"/>
        </w:rPr>
        <w:t>19 species we</w:t>
      </w:r>
      <w:r w:rsidRPr="008F3C95">
        <w:rPr>
          <w:lang w:val="en-US"/>
        </w:rPr>
        <w:t>re least concern and 03 species are lower risk. 90 species of birds recorded are not threatened</w:t>
      </w:r>
      <w:r>
        <w:t>. No critical endangered,</w:t>
      </w:r>
      <w:r w:rsidRPr="008F3C95">
        <w:t xml:space="preserve"> </w:t>
      </w:r>
      <w:r w:rsidRPr="008F3C95">
        <w:rPr>
          <w:lang w:val="en-US"/>
        </w:rPr>
        <w:t>endangered, vulnerable</w:t>
      </w:r>
      <w:r>
        <w:rPr>
          <w:lang w:val="en-US"/>
        </w:rPr>
        <w:t xml:space="preserve"> species were not recorded</w:t>
      </w:r>
      <w:r w:rsidRPr="008F3C95">
        <w:rPr>
          <w:lang w:val="en-US"/>
        </w:rPr>
        <w:t xml:space="preserve"> in the study area</w:t>
      </w:r>
    </w:p>
    <w:p w:rsidR="00113213" w:rsidRDefault="00113213">
      <w:pPr>
        <w:rPr>
          <w:lang w:val="en-US"/>
        </w:rPr>
      </w:pPr>
    </w:p>
    <w:p w:rsidR="00113213" w:rsidRDefault="00113213" w:rsidP="00113213">
      <w:pPr>
        <w:pStyle w:val="Subtitle"/>
      </w:pPr>
      <w:r w:rsidRPr="00AE59FD">
        <w:t>Summary of Affected Trees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16"/>
        <w:gridCol w:w="2367"/>
        <w:gridCol w:w="2367"/>
      </w:tblGrid>
      <w:tr w:rsidR="00113213" w:rsidRPr="00090EF1" w:rsidTr="00240657">
        <w:trPr>
          <w:trHeight w:val="281"/>
          <w:tblHeader/>
          <w:jc w:val="center"/>
        </w:trPr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bookmarkStart w:id="3" w:name="OLE_LINK1"/>
            <w:r w:rsidRPr="00483326">
              <w:rPr>
                <w:rFonts w:cs="Arial"/>
                <w:sz w:val="20"/>
                <w:szCs w:val="20"/>
                <w:lang w:val="en-US"/>
              </w:rPr>
              <w:t>Categories of Trees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%</w:t>
            </w:r>
          </w:p>
        </w:tc>
      </w:tr>
      <w:tr w:rsidR="00113213" w:rsidRPr="00090EF1" w:rsidTr="00240657">
        <w:trPr>
          <w:trHeight w:val="258"/>
          <w:jc w:val="center"/>
        </w:trPr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Fruit bearing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2,668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45.0</w:t>
            </w:r>
          </w:p>
        </w:tc>
      </w:tr>
      <w:tr w:rsidR="00113213" w:rsidRPr="00090EF1" w:rsidTr="00240657">
        <w:trPr>
          <w:trHeight w:val="275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Timber &amp; fruit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755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12.7</w:t>
            </w:r>
          </w:p>
        </w:tc>
      </w:tr>
      <w:tr w:rsidR="00113213" w:rsidRPr="00090EF1" w:rsidTr="00240657">
        <w:trPr>
          <w:trHeight w:val="281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Timber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1,306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22.0</w:t>
            </w:r>
          </w:p>
        </w:tc>
      </w:tr>
      <w:tr w:rsidR="00113213" w:rsidRPr="00090EF1" w:rsidTr="00240657">
        <w:trPr>
          <w:trHeight w:val="216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Firewood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0.6</w:t>
            </w:r>
          </w:p>
        </w:tc>
      </w:tr>
      <w:tr w:rsidR="00113213" w:rsidRPr="00090EF1" w:rsidTr="00240657">
        <w:trPr>
          <w:trHeight w:val="281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Medicinal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1.0</w:t>
            </w:r>
          </w:p>
        </w:tc>
      </w:tr>
      <w:tr w:rsidR="00113213" w:rsidRPr="00090EF1" w:rsidTr="00240657">
        <w:trPr>
          <w:trHeight w:val="281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Banana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689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11.6</w:t>
            </w:r>
          </w:p>
        </w:tc>
      </w:tr>
      <w:tr w:rsidR="00113213" w:rsidRPr="00090EF1" w:rsidTr="00240657">
        <w:trPr>
          <w:trHeight w:val="281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lastRenderedPageBreak/>
              <w:t>Bamboo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320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5.4</w:t>
            </w:r>
          </w:p>
        </w:tc>
      </w:tr>
      <w:tr w:rsidR="00113213" w:rsidRPr="00090EF1" w:rsidTr="00240657">
        <w:trPr>
          <w:trHeight w:val="281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Ornamental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83326">
              <w:rPr>
                <w:rFonts w:cs="Arial"/>
                <w:sz w:val="20"/>
                <w:szCs w:val="20"/>
              </w:rPr>
              <w:t>1.5</w:t>
            </w:r>
          </w:p>
        </w:tc>
      </w:tr>
      <w:tr w:rsidR="00113213" w:rsidRPr="00090EF1" w:rsidTr="00240657">
        <w:trPr>
          <w:trHeight w:val="115"/>
          <w:jc w:val="center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83326">
              <w:rPr>
                <w:rFonts w:cs="Arial"/>
                <w:sz w:val="20"/>
                <w:szCs w:val="20"/>
                <w:lang w:val="en-US"/>
              </w:rPr>
              <w:t>Grand total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483326">
              <w:rPr>
                <w:rFonts w:cs="Arial"/>
                <w:b/>
                <w:sz w:val="20"/>
                <w:szCs w:val="20"/>
              </w:rPr>
              <w:t>5,923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213" w:rsidRPr="00483326" w:rsidRDefault="00113213" w:rsidP="00240657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483326">
              <w:rPr>
                <w:rFonts w:cs="Arial"/>
                <w:b/>
                <w:sz w:val="20"/>
                <w:szCs w:val="20"/>
              </w:rPr>
              <w:t>100</w:t>
            </w:r>
          </w:p>
        </w:tc>
      </w:tr>
    </w:tbl>
    <w:bookmarkEnd w:id="3"/>
    <w:p w:rsidR="00113213" w:rsidRPr="00483326" w:rsidRDefault="00113213" w:rsidP="00113213">
      <w:pPr>
        <w:rPr>
          <w:rFonts w:cs="Arial"/>
          <w:sz w:val="18"/>
          <w:szCs w:val="20"/>
          <w:lang w:val="en-US"/>
        </w:rPr>
      </w:pPr>
      <w:r w:rsidRPr="00483326">
        <w:rPr>
          <w:rFonts w:cs="Arial"/>
          <w:sz w:val="18"/>
          <w:szCs w:val="20"/>
          <w:lang w:val="en-US"/>
        </w:rPr>
        <w:t xml:space="preserve">Data sources: Social Survey, </w:t>
      </w:r>
      <w:r>
        <w:rPr>
          <w:rFonts w:cs="Arial"/>
          <w:sz w:val="18"/>
          <w:szCs w:val="20"/>
          <w:lang w:val="en-US"/>
        </w:rPr>
        <w:t>2020</w:t>
      </w:r>
    </w:p>
    <w:p w:rsidR="00113213" w:rsidRDefault="00113213"/>
    <w:sectPr w:rsidR="0011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B018A"/>
    <w:multiLevelType w:val="hybridMultilevel"/>
    <w:tmpl w:val="4AF2A9F2"/>
    <w:lvl w:ilvl="0" w:tplc="38D815E8">
      <w:start w:val="1"/>
      <w:numFmt w:val="decimal"/>
      <w:pStyle w:val="Body"/>
      <w:lvlText w:val="%1."/>
      <w:lvlJc w:val="left"/>
      <w:pPr>
        <w:ind w:left="9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53"/>
    <w:rsid w:val="00113213"/>
    <w:rsid w:val="002B3853"/>
    <w:rsid w:val="00D3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A7F47-BFBA-4F07-9AA9-35E1ACE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213"/>
    <w:pPr>
      <w:spacing w:after="120" w:line="276" w:lineRule="auto"/>
      <w:jc w:val="both"/>
    </w:pPr>
    <w:rPr>
      <w:rFonts w:ascii="Arial" w:eastAsia="SimSun" w:hAnsi="Arial" w:cs="Times New Roman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0"/>
    <w:uiPriority w:val="1"/>
    <w:qFormat/>
    <w:rsid w:val="00113213"/>
    <w:pPr>
      <w:numPr>
        <w:numId w:val="1"/>
      </w:numPr>
      <w:tabs>
        <w:tab w:val="left" w:pos="576"/>
      </w:tabs>
      <w:suppressAutoHyphens/>
      <w:spacing w:before="120" w:line="300" w:lineRule="auto"/>
      <w:ind w:left="0" w:firstLine="0"/>
    </w:pPr>
    <w:rPr>
      <w:rFonts w:eastAsia="Arial" w:cs="Arial"/>
      <w:iCs/>
      <w:color w:val="000000"/>
      <w:spacing w:val="5"/>
      <w:szCs w:val="22"/>
      <w:lang w:val="en-GB" w:bidi="en-US"/>
    </w:rPr>
  </w:style>
  <w:style w:type="character" w:customStyle="1" w:styleId="Body0">
    <w:name w:val="Body (文字)"/>
    <w:link w:val="Body"/>
    <w:uiPriority w:val="1"/>
    <w:rsid w:val="00113213"/>
    <w:rPr>
      <w:rFonts w:ascii="Arial" w:eastAsia="Arial" w:hAnsi="Arial" w:cs="Arial"/>
      <w:iCs/>
      <w:color w:val="000000"/>
      <w:spacing w:val="5"/>
      <w:lang w:val="en-GB" w:eastAsia="en-CA" w:bidi="en-US"/>
    </w:rPr>
  </w:style>
  <w:style w:type="paragraph" w:styleId="Title">
    <w:name w:val="Title"/>
    <w:aliases w:val="Table_Fig_Caption"/>
    <w:basedOn w:val="Normal"/>
    <w:next w:val="Normal"/>
    <w:link w:val="TitleChar"/>
    <w:uiPriority w:val="10"/>
    <w:qFormat/>
    <w:rsid w:val="00113213"/>
    <w:pPr>
      <w:spacing w:before="120" w:line="360" w:lineRule="auto"/>
      <w:jc w:val="center"/>
    </w:pPr>
    <w:rPr>
      <w:rFonts w:ascii="Arial Bold" w:eastAsia="Yu Gothic Light" w:hAnsi="Arial Bold" w:cs="Vrinda"/>
      <w:b/>
      <w:kern w:val="28"/>
      <w:sz w:val="20"/>
      <w:szCs w:val="56"/>
    </w:rPr>
  </w:style>
  <w:style w:type="character" w:customStyle="1" w:styleId="TitleChar">
    <w:name w:val="Title Char"/>
    <w:aliases w:val="Table_Fig_Caption Char"/>
    <w:basedOn w:val="DefaultParagraphFont"/>
    <w:link w:val="Title"/>
    <w:uiPriority w:val="10"/>
    <w:rsid w:val="00113213"/>
    <w:rPr>
      <w:rFonts w:ascii="Arial Bold" w:eastAsia="Yu Gothic Light" w:hAnsi="Arial Bold" w:cs="Vrinda"/>
      <w:b/>
      <w:kern w:val="28"/>
      <w:sz w:val="20"/>
      <w:szCs w:val="56"/>
      <w:lang w:val="en-CA" w:eastAsia="en-CA"/>
    </w:rPr>
  </w:style>
  <w:style w:type="paragraph" w:styleId="Subtitle">
    <w:name w:val="Subtitle"/>
    <w:aliases w:val="Table_Figure Tittle"/>
    <w:basedOn w:val="Normal"/>
    <w:next w:val="Normal"/>
    <w:link w:val="SubtitleChar"/>
    <w:uiPriority w:val="11"/>
    <w:qFormat/>
    <w:rsid w:val="00113213"/>
    <w:pPr>
      <w:spacing w:after="160"/>
      <w:jc w:val="center"/>
    </w:pPr>
    <w:rPr>
      <w:rFonts w:eastAsia="Yu Mincho" w:cs="Vrinda"/>
      <w:b/>
      <w:spacing w:val="15"/>
      <w:sz w:val="20"/>
      <w:szCs w:val="22"/>
    </w:rPr>
  </w:style>
  <w:style w:type="character" w:customStyle="1" w:styleId="SubtitleChar">
    <w:name w:val="Subtitle Char"/>
    <w:aliases w:val="Table_Figure Tittle Char"/>
    <w:basedOn w:val="DefaultParagraphFont"/>
    <w:link w:val="Subtitle"/>
    <w:uiPriority w:val="11"/>
    <w:rsid w:val="00113213"/>
    <w:rPr>
      <w:rFonts w:ascii="Arial" w:eastAsia="Yu Mincho" w:hAnsi="Arial" w:cs="Vrinda"/>
      <w:b/>
      <w:spacing w:val="15"/>
      <w:sz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Abu Jubayer</cp:lastModifiedBy>
  <cp:revision>2</cp:revision>
  <dcterms:created xsi:type="dcterms:W3CDTF">2021-01-04T11:59:00Z</dcterms:created>
  <dcterms:modified xsi:type="dcterms:W3CDTF">2021-01-04T12:03:00Z</dcterms:modified>
</cp:coreProperties>
</file>