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D86D" w14:textId="77777777" w:rsidR="00F70E73" w:rsidRPr="00730794" w:rsidRDefault="00F70E73" w:rsidP="00F70E73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0B3D6F3A" w14:textId="7B268E07" w:rsidR="002405B5" w:rsidRDefault="00E42C4B" w:rsidP="00F70E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4485">
        <w:rPr>
          <w:rFonts w:ascii="Times New Roman" w:hAnsi="Times New Roman" w:cs="Times New Roman"/>
          <w:b/>
          <w:bCs/>
        </w:rPr>
        <w:t>Interested Agency:</w:t>
      </w:r>
      <w:r>
        <w:rPr>
          <w:rFonts w:ascii="Times New Roman" w:hAnsi="Times New Roman" w:cs="Times New Roman"/>
        </w:rPr>
        <w:t xml:space="preserve"> </w:t>
      </w:r>
      <w:r w:rsidR="0096469B" w:rsidRPr="0096469B">
        <w:rPr>
          <w:rFonts w:ascii="Times New Roman" w:hAnsi="Times New Roman" w:cs="Times New Roman"/>
        </w:rPr>
        <w:t>Bangladesh Association of International Recruiting Agencies (BAIRA)</w:t>
      </w:r>
    </w:p>
    <w:p w14:paraId="11239FE7" w14:textId="77777777" w:rsidR="00CE3486" w:rsidRPr="00CE3486" w:rsidRDefault="00CE3486" w:rsidP="00F70E73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5ACB93A0" w14:textId="5E73B743" w:rsidR="00CE3486" w:rsidRDefault="00CE3486" w:rsidP="00F70E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E3486">
        <w:rPr>
          <w:rFonts w:ascii="Times New Roman" w:hAnsi="Times New Roman" w:cs="Times New Roman"/>
          <w:b/>
          <w:bCs/>
        </w:rPr>
        <w:t>Name of the Program:</w:t>
      </w:r>
      <w:r w:rsidRPr="00CE3486">
        <w:rPr>
          <w:rFonts w:ascii="Times New Roman" w:hAnsi="Times New Roman" w:cs="Times New Roman"/>
        </w:rPr>
        <w:t xml:space="preserve"> Safe Migration (SA-MI) from Bangladesh</w:t>
      </w:r>
    </w:p>
    <w:p w14:paraId="619FCF3E" w14:textId="77777777" w:rsidR="00F70E73" w:rsidRPr="00F70E73" w:rsidRDefault="00F70E73" w:rsidP="00F70E73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563B546A" w14:textId="4ADE6F1E" w:rsidR="00E42C4B" w:rsidRDefault="009E1117" w:rsidP="00F70E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4485">
        <w:rPr>
          <w:rFonts w:ascii="Times New Roman" w:hAnsi="Times New Roman" w:cs="Times New Roman"/>
          <w:b/>
          <w:bCs/>
        </w:rPr>
        <w:t>Background of BAIRA</w:t>
      </w:r>
      <w:r w:rsidRPr="0046448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B949EC" w:rsidRPr="00B949EC">
        <w:rPr>
          <w:rFonts w:ascii="Times New Roman" w:hAnsi="Times New Roman" w:cs="Times New Roman"/>
        </w:rPr>
        <w:t>BAIRA is an association of national level with its international reputation of co-operation and welfare of the migrant workforce as well as its approximately 1300 member agencies in collaboration with and support from the Government of Bangladesh</w:t>
      </w:r>
      <w:r w:rsidR="00B949EC">
        <w:rPr>
          <w:rFonts w:ascii="Times New Roman" w:hAnsi="Times New Roman" w:cs="Times New Roman"/>
        </w:rPr>
        <w:t>.</w:t>
      </w:r>
    </w:p>
    <w:p w14:paraId="52599EED" w14:textId="77777777" w:rsidR="00F70E73" w:rsidRPr="00F70E73" w:rsidRDefault="00F70E73" w:rsidP="00F70E73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3E29C9A0" w14:textId="7216C09D" w:rsidR="00B949EC" w:rsidRDefault="00EE3350" w:rsidP="00F70E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4485">
        <w:rPr>
          <w:rFonts w:ascii="Times New Roman" w:hAnsi="Times New Roman" w:cs="Times New Roman"/>
          <w:b/>
          <w:bCs/>
        </w:rPr>
        <w:t>Modern Training Center:</w:t>
      </w:r>
      <w:r w:rsidR="00464485">
        <w:rPr>
          <w:rFonts w:ascii="Times New Roman" w:hAnsi="Times New Roman" w:cs="Times New Roman"/>
          <w:b/>
          <w:bCs/>
        </w:rPr>
        <w:t xml:space="preserve"> </w:t>
      </w:r>
      <w:r w:rsidR="00304117" w:rsidRPr="00304117">
        <w:rPr>
          <w:rFonts w:ascii="Times New Roman" w:hAnsi="Times New Roman" w:cs="Times New Roman"/>
        </w:rPr>
        <w:t>Type A</w:t>
      </w:r>
      <w:r w:rsidR="00617E28">
        <w:rPr>
          <w:rFonts w:ascii="Times New Roman" w:hAnsi="Times New Roman" w:cs="Times New Roman"/>
        </w:rPr>
        <w:t xml:space="preserve"> (10) </w:t>
      </w:r>
      <w:r w:rsidR="00304117" w:rsidRPr="00304117">
        <w:rPr>
          <w:rFonts w:ascii="Times New Roman" w:hAnsi="Times New Roman" w:cs="Times New Roman"/>
        </w:rPr>
        <w:t>≥ 1000 nos</w:t>
      </w:r>
      <w:r w:rsidR="00617E28">
        <w:rPr>
          <w:rFonts w:ascii="Times New Roman" w:hAnsi="Times New Roman" w:cs="Times New Roman"/>
        </w:rPr>
        <w:t xml:space="preserve"> capacity</w:t>
      </w:r>
      <w:r w:rsidR="00304117">
        <w:rPr>
          <w:rFonts w:ascii="Times New Roman" w:hAnsi="Times New Roman" w:cs="Times New Roman"/>
        </w:rPr>
        <w:t xml:space="preserve">, </w:t>
      </w:r>
      <w:r w:rsidR="00304117" w:rsidRPr="00304117">
        <w:rPr>
          <w:rFonts w:ascii="Times New Roman" w:hAnsi="Times New Roman" w:cs="Times New Roman"/>
        </w:rPr>
        <w:t>Type B</w:t>
      </w:r>
      <w:r w:rsidR="00617E28">
        <w:rPr>
          <w:rFonts w:ascii="Times New Roman" w:hAnsi="Times New Roman" w:cs="Times New Roman"/>
        </w:rPr>
        <w:t xml:space="preserve"> (15) - </w:t>
      </w:r>
      <w:r w:rsidR="00304117" w:rsidRPr="00304117">
        <w:rPr>
          <w:rFonts w:ascii="Times New Roman" w:hAnsi="Times New Roman" w:cs="Times New Roman"/>
        </w:rPr>
        <w:t>500 – 900 nos</w:t>
      </w:r>
      <w:r w:rsidR="00617E28">
        <w:rPr>
          <w:rFonts w:ascii="Times New Roman" w:hAnsi="Times New Roman" w:cs="Times New Roman"/>
        </w:rPr>
        <w:t xml:space="preserve"> </w:t>
      </w:r>
      <w:r w:rsidR="00617E28">
        <w:rPr>
          <w:rFonts w:ascii="Times New Roman" w:hAnsi="Times New Roman" w:cs="Times New Roman"/>
        </w:rPr>
        <w:t>capacity</w:t>
      </w:r>
      <w:r w:rsidR="00304117">
        <w:rPr>
          <w:rFonts w:ascii="Times New Roman" w:hAnsi="Times New Roman" w:cs="Times New Roman"/>
        </w:rPr>
        <w:t xml:space="preserve">, </w:t>
      </w:r>
      <w:r w:rsidR="00304117" w:rsidRPr="00304117">
        <w:rPr>
          <w:rFonts w:ascii="Times New Roman" w:hAnsi="Times New Roman" w:cs="Times New Roman"/>
        </w:rPr>
        <w:t>Type C</w:t>
      </w:r>
      <w:r w:rsidR="00617E28">
        <w:rPr>
          <w:rFonts w:ascii="Times New Roman" w:hAnsi="Times New Roman" w:cs="Times New Roman"/>
        </w:rPr>
        <w:t xml:space="preserve"> (05) - </w:t>
      </w:r>
      <w:r w:rsidR="00304117" w:rsidRPr="00304117">
        <w:rPr>
          <w:rFonts w:ascii="Times New Roman" w:hAnsi="Times New Roman" w:cs="Times New Roman"/>
        </w:rPr>
        <w:t>350 – 499 nos</w:t>
      </w:r>
      <w:r w:rsidR="00617E28">
        <w:rPr>
          <w:rFonts w:ascii="Times New Roman" w:hAnsi="Times New Roman" w:cs="Times New Roman"/>
        </w:rPr>
        <w:t xml:space="preserve"> </w:t>
      </w:r>
      <w:r w:rsidR="00617E28">
        <w:rPr>
          <w:rFonts w:ascii="Times New Roman" w:hAnsi="Times New Roman" w:cs="Times New Roman"/>
        </w:rPr>
        <w:t>capacity</w:t>
      </w:r>
      <w:r w:rsidR="00304117">
        <w:rPr>
          <w:rFonts w:ascii="Times New Roman" w:hAnsi="Times New Roman" w:cs="Times New Roman"/>
        </w:rPr>
        <w:t xml:space="preserve">, </w:t>
      </w:r>
      <w:r w:rsidR="00304117" w:rsidRPr="00304117">
        <w:rPr>
          <w:rFonts w:ascii="Times New Roman" w:hAnsi="Times New Roman" w:cs="Times New Roman"/>
        </w:rPr>
        <w:t>Type D</w:t>
      </w:r>
      <w:r w:rsidR="00617E28">
        <w:rPr>
          <w:rFonts w:ascii="Times New Roman" w:hAnsi="Times New Roman" w:cs="Times New Roman"/>
        </w:rPr>
        <w:t xml:space="preserve"> (07) </w:t>
      </w:r>
      <w:r w:rsidR="00304117" w:rsidRPr="00304117">
        <w:rPr>
          <w:rFonts w:ascii="Times New Roman" w:hAnsi="Times New Roman" w:cs="Times New Roman"/>
        </w:rPr>
        <w:t>≤ 349 nos</w:t>
      </w:r>
      <w:r w:rsidR="008B07BB">
        <w:rPr>
          <w:rFonts w:ascii="Times New Roman" w:hAnsi="Times New Roman" w:cs="Times New Roman"/>
        </w:rPr>
        <w:t xml:space="preserve"> </w:t>
      </w:r>
      <w:r w:rsidR="00617E28">
        <w:rPr>
          <w:rFonts w:ascii="Times New Roman" w:hAnsi="Times New Roman" w:cs="Times New Roman"/>
        </w:rPr>
        <w:t>capacity</w:t>
      </w:r>
      <w:r w:rsidR="00685223">
        <w:rPr>
          <w:rFonts w:ascii="Times New Roman" w:hAnsi="Times New Roman" w:cs="Times New Roman"/>
        </w:rPr>
        <w:t xml:space="preserve">. </w:t>
      </w:r>
      <w:r w:rsidR="00304117" w:rsidRPr="00304117">
        <w:rPr>
          <w:rFonts w:ascii="Times New Roman" w:hAnsi="Times New Roman" w:cs="Times New Roman"/>
        </w:rPr>
        <w:t>Contractual Nursing Institution (MoU Based)</w:t>
      </w:r>
      <w:r w:rsidR="00685223">
        <w:rPr>
          <w:rFonts w:ascii="Times New Roman" w:hAnsi="Times New Roman" w:cs="Times New Roman"/>
        </w:rPr>
        <w:t xml:space="preserve"> </w:t>
      </w:r>
      <w:r w:rsidR="00304117" w:rsidRPr="00304117">
        <w:rPr>
          <w:rFonts w:ascii="Times New Roman" w:hAnsi="Times New Roman" w:cs="Times New Roman"/>
        </w:rPr>
        <w:t>15-20</w:t>
      </w:r>
      <w:r w:rsidR="00685223">
        <w:rPr>
          <w:rFonts w:ascii="Times New Roman" w:hAnsi="Times New Roman" w:cs="Times New Roman"/>
        </w:rPr>
        <w:t xml:space="preserve"> and </w:t>
      </w:r>
      <w:r w:rsidR="00304117" w:rsidRPr="00304117">
        <w:rPr>
          <w:rFonts w:ascii="Times New Roman" w:hAnsi="Times New Roman" w:cs="Times New Roman"/>
        </w:rPr>
        <w:t>Paramedical Institute (MoU Based)</w:t>
      </w:r>
      <w:r w:rsidR="00685223">
        <w:rPr>
          <w:rFonts w:ascii="Times New Roman" w:hAnsi="Times New Roman" w:cs="Times New Roman"/>
        </w:rPr>
        <w:t xml:space="preserve"> </w:t>
      </w:r>
      <w:r w:rsidR="00304117" w:rsidRPr="00304117">
        <w:rPr>
          <w:rFonts w:ascii="Times New Roman" w:hAnsi="Times New Roman" w:cs="Times New Roman"/>
        </w:rPr>
        <w:t>20 (Under Processing)</w:t>
      </w:r>
      <w:r w:rsidR="00685223">
        <w:rPr>
          <w:rFonts w:ascii="Times New Roman" w:hAnsi="Times New Roman" w:cs="Times New Roman"/>
        </w:rPr>
        <w:t>.</w:t>
      </w:r>
    </w:p>
    <w:p w14:paraId="5C0131F7" w14:textId="77777777" w:rsidR="00F70E73" w:rsidRPr="00F70E73" w:rsidRDefault="00F70E73" w:rsidP="00F70E73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0268B886" w14:textId="34E6AB9F" w:rsidR="00685223" w:rsidRDefault="0030119C" w:rsidP="00F70E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4485">
        <w:rPr>
          <w:rFonts w:ascii="Times New Roman" w:hAnsi="Times New Roman" w:cs="Times New Roman"/>
          <w:b/>
          <w:bCs/>
        </w:rPr>
        <w:t>Training Center Facilities</w:t>
      </w:r>
      <w:r w:rsidRPr="0046448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CA2CEB" w:rsidRPr="00CA2CEB">
        <w:rPr>
          <w:rFonts w:ascii="Times New Roman" w:hAnsi="Times New Roman" w:cs="Times New Roman"/>
        </w:rPr>
        <w:t>International Standard</w:t>
      </w:r>
      <w:r w:rsidR="00CA2CEB">
        <w:rPr>
          <w:rFonts w:ascii="Times New Roman" w:hAnsi="Times New Roman" w:cs="Times New Roman"/>
        </w:rPr>
        <w:t xml:space="preserve">, </w:t>
      </w:r>
      <w:r w:rsidR="00CA2CEB" w:rsidRPr="00CA2CEB">
        <w:rPr>
          <w:rFonts w:ascii="Times New Roman" w:hAnsi="Times New Roman" w:cs="Times New Roman"/>
        </w:rPr>
        <w:t>Training in different Trades</w:t>
      </w:r>
      <w:r w:rsidR="00CA2CEB">
        <w:rPr>
          <w:rFonts w:ascii="Times New Roman" w:hAnsi="Times New Roman" w:cs="Times New Roman"/>
        </w:rPr>
        <w:t xml:space="preserve">, </w:t>
      </w:r>
      <w:r w:rsidR="00CA2CEB" w:rsidRPr="00CA2CEB">
        <w:rPr>
          <w:rFonts w:ascii="Times New Roman" w:hAnsi="Times New Roman" w:cs="Times New Roman"/>
        </w:rPr>
        <w:t>Accommodation Facilities</w:t>
      </w:r>
      <w:r w:rsidR="00CA2CEB">
        <w:rPr>
          <w:rFonts w:ascii="Times New Roman" w:hAnsi="Times New Roman" w:cs="Times New Roman"/>
        </w:rPr>
        <w:t xml:space="preserve">, </w:t>
      </w:r>
      <w:r w:rsidR="00CA2CEB" w:rsidRPr="00CA2CEB">
        <w:rPr>
          <w:rFonts w:ascii="Times New Roman" w:hAnsi="Times New Roman" w:cs="Times New Roman"/>
        </w:rPr>
        <w:t>On-spot Recruitment from International Buyers</w:t>
      </w:r>
      <w:r w:rsidR="00CA2CEB">
        <w:rPr>
          <w:rFonts w:ascii="Times New Roman" w:hAnsi="Times New Roman" w:cs="Times New Roman"/>
        </w:rPr>
        <w:t xml:space="preserve">, </w:t>
      </w:r>
      <w:r w:rsidR="00CA2CEB" w:rsidRPr="00CA2CEB">
        <w:rPr>
          <w:rFonts w:ascii="Times New Roman" w:hAnsi="Times New Roman" w:cs="Times New Roman"/>
        </w:rPr>
        <w:t>Visa Support, Ticketing, Dress and other facilities</w:t>
      </w:r>
      <w:r w:rsidR="00DD33CD">
        <w:rPr>
          <w:rFonts w:ascii="Times New Roman" w:hAnsi="Times New Roman" w:cs="Times New Roman"/>
        </w:rPr>
        <w:t xml:space="preserve"> and </w:t>
      </w:r>
      <w:r w:rsidR="00CA2CEB" w:rsidRPr="00CA2CEB">
        <w:rPr>
          <w:rFonts w:ascii="Times New Roman" w:hAnsi="Times New Roman" w:cs="Times New Roman"/>
        </w:rPr>
        <w:t>Direct Job Placemen</w:t>
      </w:r>
      <w:r w:rsidR="00DD33CD">
        <w:rPr>
          <w:rFonts w:ascii="Times New Roman" w:hAnsi="Times New Roman" w:cs="Times New Roman"/>
        </w:rPr>
        <w:t>t.</w:t>
      </w:r>
    </w:p>
    <w:p w14:paraId="1052B2E7" w14:textId="77777777" w:rsidR="00F70E73" w:rsidRPr="00F70E73" w:rsidRDefault="00F70E73" w:rsidP="00F70E73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5BF3E389" w14:textId="4FA60DFA" w:rsidR="00AB3495" w:rsidRDefault="00AB3495" w:rsidP="00F70E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4485">
        <w:rPr>
          <w:rFonts w:ascii="Times New Roman" w:hAnsi="Times New Roman" w:cs="Times New Roman"/>
          <w:b/>
          <w:bCs/>
        </w:rPr>
        <w:t xml:space="preserve">Specialty of </w:t>
      </w:r>
      <w:r w:rsidR="00DA0010" w:rsidRPr="00464485">
        <w:rPr>
          <w:rFonts w:ascii="Times New Roman" w:hAnsi="Times New Roman" w:cs="Times New Roman"/>
          <w:b/>
          <w:bCs/>
        </w:rPr>
        <w:t>BAIRA</w:t>
      </w:r>
      <w:r w:rsidRPr="0046448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AB3495">
        <w:rPr>
          <w:rFonts w:ascii="Times New Roman" w:hAnsi="Times New Roman" w:cs="Times New Roman"/>
        </w:rPr>
        <w:t>Job Confirmation</w:t>
      </w:r>
      <w:r>
        <w:rPr>
          <w:rFonts w:ascii="Times New Roman" w:hAnsi="Times New Roman" w:cs="Times New Roman"/>
        </w:rPr>
        <w:t xml:space="preserve">, </w:t>
      </w:r>
      <w:r w:rsidRPr="00AB3495">
        <w:rPr>
          <w:rFonts w:ascii="Times New Roman" w:hAnsi="Times New Roman" w:cs="Times New Roman"/>
        </w:rPr>
        <w:t>International Standard Remuneration</w:t>
      </w:r>
      <w:r>
        <w:rPr>
          <w:rFonts w:ascii="Times New Roman" w:hAnsi="Times New Roman" w:cs="Times New Roman"/>
        </w:rPr>
        <w:t xml:space="preserve">, </w:t>
      </w:r>
      <w:r w:rsidRPr="00AB3495">
        <w:rPr>
          <w:rFonts w:ascii="Times New Roman" w:hAnsi="Times New Roman" w:cs="Times New Roman"/>
        </w:rPr>
        <w:t>Equipped Training center</w:t>
      </w:r>
      <w:r>
        <w:rPr>
          <w:rFonts w:ascii="Times New Roman" w:hAnsi="Times New Roman" w:cs="Times New Roman"/>
        </w:rPr>
        <w:t xml:space="preserve">, </w:t>
      </w:r>
      <w:r w:rsidRPr="00AB3495">
        <w:rPr>
          <w:rFonts w:ascii="Times New Roman" w:hAnsi="Times New Roman" w:cs="Times New Roman"/>
        </w:rPr>
        <w:t>On-Spot Recruitment</w:t>
      </w:r>
      <w:r>
        <w:rPr>
          <w:rFonts w:ascii="Times New Roman" w:hAnsi="Times New Roman" w:cs="Times New Roman"/>
        </w:rPr>
        <w:t xml:space="preserve">, </w:t>
      </w:r>
      <w:r w:rsidRPr="00AB3495">
        <w:rPr>
          <w:rFonts w:ascii="Times New Roman" w:hAnsi="Times New Roman" w:cs="Times New Roman"/>
        </w:rPr>
        <w:t>High Salary</w:t>
      </w:r>
      <w:r>
        <w:rPr>
          <w:rFonts w:ascii="Times New Roman" w:hAnsi="Times New Roman" w:cs="Times New Roman"/>
        </w:rPr>
        <w:t xml:space="preserve">, </w:t>
      </w:r>
      <w:r w:rsidRPr="00AB3495">
        <w:rPr>
          <w:rFonts w:ascii="Times New Roman" w:hAnsi="Times New Roman" w:cs="Times New Roman"/>
        </w:rPr>
        <w:t>Higher Remittance Return</w:t>
      </w:r>
      <w:r>
        <w:rPr>
          <w:rFonts w:ascii="Times New Roman" w:hAnsi="Times New Roman" w:cs="Times New Roman"/>
        </w:rPr>
        <w:t xml:space="preserve"> and </w:t>
      </w:r>
      <w:r w:rsidRPr="00AB3495">
        <w:rPr>
          <w:rFonts w:ascii="Times New Roman" w:hAnsi="Times New Roman" w:cs="Times New Roman"/>
        </w:rPr>
        <w:t>Organized Management</w:t>
      </w:r>
      <w:r>
        <w:rPr>
          <w:rFonts w:ascii="Times New Roman" w:hAnsi="Times New Roman" w:cs="Times New Roman"/>
        </w:rPr>
        <w:t>.</w:t>
      </w:r>
    </w:p>
    <w:p w14:paraId="3073034B" w14:textId="77777777" w:rsidR="00F70E73" w:rsidRPr="00F70E73" w:rsidRDefault="00F70E73" w:rsidP="00F70E73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24EF7627" w14:textId="5804942C" w:rsidR="009324A4" w:rsidRDefault="00DA0010" w:rsidP="00F70E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4485">
        <w:rPr>
          <w:rFonts w:ascii="Times New Roman" w:hAnsi="Times New Roman" w:cs="Times New Roman"/>
          <w:b/>
          <w:bCs/>
        </w:rPr>
        <w:t>Regular Programs</w:t>
      </w:r>
      <w:r w:rsidRPr="0046448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9324A4">
        <w:rPr>
          <w:rFonts w:ascii="Times New Roman" w:hAnsi="Times New Roman" w:cs="Times New Roman"/>
        </w:rPr>
        <w:t>20 nos</w:t>
      </w:r>
      <w:r w:rsidR="004135F0">
        <w:rPr>
          <w:rFonts w:ascii="Times New Roman" w:hAnsi="Times New Roman" w:cs="Times New Roman"/>
        </w:rPr>
        <w:t>,</w:t>
      </w:r>
      <w:r w:rsidR="00175A30">
        <w:rPr>
          <w:rFonts w:ascii="Times New Roman" w:hAnsi="Times New Roman" w:cs="Times New Roman"/>
        </w:rPr>
        <w:t xml:space="preserve"> </w:t>
      </w:r>
      <w:r w:rsidR="009324A4" w:rsidRPr="004135F0">
        <w:rPr>
          <w:rFonts w:ascii="Times New Roman" w:hAnsi="Times New Roman" w:cs="Times New Roman"/>
          <w:b/>
          <w:bCs/>
        </w:rPr>
        <w:t>Special Program:</w:t>
      </w:r>
      <w:r w:rsidR="009324A4">
        <w:rPr>
          <w:rFonts w:ascii="Times New Roman" w:hAnsi="Times New Roman" w:cs="Times New Roman"/>
        </w:rPr>
        <w:t xml:space="preserve"> 08 nos</w:t>
      </w:r>
      <w:r w:rsidR="004135F0">
        <w:rPr>
          <w:rFonts w:ascii="Times New Roman" w:hAnsi="Times New Roman" w:cs="Times New Roman"/>
        </w:rPr>
        <w:t xml:space="preserve"> and </w:t>
      </w:r>
      <w:r w:rsidR="004135F0" w:rsidRPr="004135F0">
        <w:rPr>
          <w:rFonts w:ascii="Times New Roman" w:hAnsi="Times New Roman" w:cs="Times New Roman"/>
          <w:b/>
          <w:bCs/>
        </w:rPr>
        <w:t>Language Program:</w:t>
      </w:r>
      <w:r w:rsidR="004135F0">
        <w:rPr>
          <w:rFonts w:ascii="Times New Roman" w:hAnsi="Times New Roman" w:cs="Times New Roman"/>
        </w:rPr>
        <w:t xml:space="preserve"> 5 nos</w:t>
      </w:r>
    </w:p>
    <w:p w14:paraId="32FEBEDC" w14:textId="77777777" w:rsidR="00F70E73" w:rsidRPr="00F70E73" w:rsidRDefault="00F70E73" w:rsidP="00F70E73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6F3FBB18" w14:textId="71ECD2AA" w:rsidR="00175A30" w:rsidRDefault="00B97391" w:rsidP="00F70E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4485">
        <w:rPr>
          <w:rFonts w:ascii="Times New Roman" w:hAnsi="Times New Roman" w:cs="Times New Roman"/>
          <w:b/>
          <w:bCs/>
        </w:rPr>
        <w:t xml:space="preserve">Country wise </w:t>
      </w:r>
      <w:r w:rsidRPr="00464485">
        <w:rPr>
          <w:rFonts w:ascii="Times New Roman" w:hAnsi="Times New Roman" w:cs="Times New Roman"/>
          <w:b/>
          <w:bCs/>
        </w:rPr>
        <w:t>Present Employee Demand</w:t>
      </w:r>
      <w:r w:rsidR="00F5794C" w:rsidRPr="00464485">
        <w:rPr>
          <w:rFonts w:ascii="Times New Roman" w:hAnsi="Times New Roman" w:cs="Times New Roman"/>
          <w:b/>
          <w:bCs/>
        </w:rPr>
        <w:t xml:space="preserve"> (Approximate)</w:t>
      </w:r>
      <w:r w:rsidRPr="0046448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Japan (12 trades – 52,000 nos), England </w:t>
      </w:r>
      <w:r w:rsidR="00075978">
        <w:rPr>
          <w:rFonts w:ascii="Times New Roman" w:hAnsi="Times New Roman" w:cs="Times New Roman"/>
        </w:rPr>
        <w:t>(</w:t>
      </w:r>
      <w:r w:rsidR="00075978">
        <w:rPr>
          <w:rFonts w:ascii="Times New Roman" w:hAnsi="Times New Roman" w:cs="Times New Roman"/>
        </w:rPr>
        <w:t>6</w:t>
      </w:r>
      <w:r w:rsidR="00075978">
        <w:rPr>
          <w:rFonts w:ascii="Times New Roman" w:hAnsi="Times New Roman" w:cs="Times New Roman"/>
        </w:rPr>
        <w:t xml:space="preserve"> trades – </w:t>
      </w:r>
      <w:r w:rsidR="00075978">
        <w:rPr>
          <w:rFonts w:ascii="Times New Roman" w:hAnsi="Times New Roman" w:cs="Times New Roman"/>
        </w:rPr>
        <w:t>30</w:t>
      </w:r>
      <w:r w:rsidR="00075978">
        <w:rPr>
          <w:rFonts w:ascii="Times New Roman" w:hAnsi="Times New Roman" w:cs="Times New Roman"/>
        </w:rPr>
        <w:t>,000 nos)</w:t>
      </w:r>
      <w:r>
        <w:rPr>
          <w:rFonts w:ascii="Times New Roman" w:hAnsi="Times New Roman" w:cs="Times New Roman"/>
        </w:rPr>
        <w:t>, Singapore</w:t>
      </w:r>
      <w:r w:rsidR="00075978">
        <w:rPr>
          <w:rFonts w:ascii="Times New Roman" w:hAnsi="Times New Roman" w:cs="Times New Roman"/>
        </w:rPr>
        <w:t xml:space="preserve"> </w:t>
      </w:r>
      <w:r w:rsidR="00075978">
        <w:rPr>
          <w:rFonts w:ascii="Times New Roman" w:hAnsi="Times New Roman" w:cs="Times New Roman"/>
        </w:rPr>
        <w:t>(</w:t>
      </w:r>
      <w:r w:rsidR="00075978">
        <w:rPr>
          <w:rFonts w:ascii="Times New Roman" w:hAnsi="Times New Roman" w:cs="Times New Roman"/>
        </w:rPr>
        <w:t>8</w:t>
      </w:r>
      <w:r w:rsidR="00075978">
        <w:rPr>
          <w:rFonts w:ascii="Times New Roman" w:hAnsi="Times New Roman" w:cs="Times New Roman"/>
        </w:rPr>
        <w:t xml:space="preserve"> trades – </w:t>
      </w:r>
      <w:r w:rsidR="00075978">
        <w:rPr>
          <w:rFonts w:ascii="Times New Roman" w:hAnsi="Times New Roman" w:cs="Times New Roman"/>
        </w:rPr>
        <w:t>40</w:t>
      </w:r>
      <w:r w:rsidR="00075978">
        <w:rPr>
          <w:rFonts w:ascii="Times New Roman" w:hAnsi="Times New Roman" w:cs="Times New Roman"/>
        </w:rPr>
        <w:t>,000 nos)</w:t>
      </w:r>
      <w:r>
        <w:rPr>
          <w:rFonts w:ascii="Times New Roman" w:hAnsi="Times New Roman" w:cs="Times New Roman"/>
        </w:rPr>
        <w:t>, Middle-East</w:t>
      </w:r>
      <w:r w:rsidR="00075978">
        <w:rPr>
          <w:rFonts w:ascii="Times New Roman" w:hAnsi="Times New Roman" w:cs="Times New Roman"/>
        </w:rPr>
        <w:t xml:space="preserve"> </w:t>
      </w:r>
      <w:r w:rsidR="00075978">
        <w:rPr>
          <w:rFonts w:ascii="Times New Roman" w:hAnsi="Times New Roman" w:cs="Times New Roman"/>
        </w:rPr>
        <w:t xml:space="preserve">(12 trades – </w:t>
      </w:r>
      <w:r w:rsidR="00075978">
        <w:rPr>
          <w:rFonts w:ascii="Times New Roman" w:hAnsi="Times New Roman" w:cs="Times New Roman"/>
        </w:rPr>
        <w:t>60</w:t>
      </w:r>
      <w:r w:rsidR="00075978">
        <w:rPr>
          <w:rFonts w:ascii="Times New Roman" w:hAnsi="Times New Roman" w:cs="Times New Roman"/>
        </w:rPr>
        <w:t>,000 nos)</w:t>
      </w:r>
      <w:r>
        <w:rPr>
          <w:rFonts w:ascii="Times New Roman" w:hAnsi="Times New Roman" w:cs="Times New Roman"/>
        </w:rPr>
        <w:t xml:space="preserve">, </w:t>
      </w:r>
      <w:r w:rsidR="00075978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European</w:t>
      </w:r>
      <w:r w:rsidR="00075978">
        <w:rPr>
          <w:rFonts w:ascii="Times New Roman" w:hAnsi="Times New Roman" w:cs="Times New Roman"/>
        </w:rPr>
        <w:t xml:space="preserve"> </w:t>
      </w:r>
      <w:r w:rsidR="00075978">
        <w:rPr>
          <w:rFonts w:ascii="Times New Roman" w:hAnsi="Times New Roman" w:cs="Times New Roman"/>
        </w:rPr>
        <w:t>(1</w:t>
      </w:r>
      <w:r w:rsidR="00075978">
        <w:rPr>
          <w:rFonts w:ascii="Times New Roman" w:hAnsi="Times New Roman" w:cs="Times New Roman"/>
        </w:rPr>
        <w:t>0</w:t>
      </w:r>
      <w:r w:rsidR="00075978">
        <w:rPr>
          <w:rFonts w:ascii="Times New Roman" w:hAnsi="Times New Roman" w:cs="Times New Roman"/>
        </w:rPr>
        <w:t xml:space="preserve"> trades – </w:t>
      </w:r>
      <w:r w:rsidR="00075978">
        <w:rPr>
          <w:rFonts w:ascii="Times New Roman" w:hAnsi="Times New Roman" w:cs="Times New Roman"/>
        </w:rPr>
        <w:t>45</w:t>
      </w:r>
      <w:r w:rsidR="00075978">
        <w:rPr>
          <w:rFonts w:ascii="Times New Roman" w:hAnsi="Times New Roman" w:cs="Times New Roman"/>
        </w:rPr>
        <w:t>,000 nos)</w:t>
      </w:r>
      <w:r w:rsidR="0080175F">
        <w:rPr>
          <w:rFonts w:ascii="Times New Roman" w:hAnsi="Times New Roman" w:cs="Times New Roman"/>
        </w:rPr>
        <w:t xml:space="preserve"> / </w:t>
      </w:r>
      <w:r w:rsidR="00C41E49" w:rsidRPr="008B07BB">
        <w:rPr>
          <w:rFonts w:ascii="Times New Roman" w:hAnsi="Times New Roman" w:cs="Times New Roman"/>
          <w:b/>
          <w:bCs/>
        </w:rPr>
        <w:t>S</w:t>
      </w:r>
      <w:r w:rsidR="0080175F" w:rsidRPr="008B07BB">
        <w:rPr>
          <w:rFonts w:ascii="Times New Roman" w:hAnsi="Times New Roman" w:cs="Times New Roman"/>
          <w:b/>
          <w:bCs/>
        </w:rPr>
        <w:t>ource:</w:t>
      </w:r>
      <w:r w:rsidR="0080175F">
        <w:rPr>
          <w:rFonts w:ascii="Times New Roman" w:hAnsi="Times New Roman" w:cs="Times New Roman"/>
        </w:rPr>
        <w:t xml:space="preserve"> BMET, Paper Cutting, International Job Portal, Personal Information and Others.</w:t>
      </w:r>
    </w:p>
    <w:p w14:paraId="255AAE4F" w14:textId="77777777" w:rsidR="00F70E73" w:rsidRPr="00F70E73" w:rsidRDefault="00F70E73" w:rsidP="00F70E73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178D0609" w14:textId="22DDCB91" w:rsidR="00DE7DA9" w:rsidRDefault="00AA2673" w:rsidP="00F70E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4485">
        <w:rPr>
          <w:rFonts w:ascii="Times New Roman" w:hAnsi="Times New Roman" w:cs="Times New Roman"/>
          <w:b/>
          <w:bCs/>
        </w:rPr>
        <w:t>Interested Trades:</w:t>
      </w:r>
      <w:r>
        <w:rPr>
          <w:rFonts w:ascii="Times New Roman" w:hAnsi="Times New Roman" w:cs="Times New Roman"/>
        </w:rPr>
        <w:t xml:space="preserve"> </w:t>
      </w:r>
      <w:r w:rsidR="00764399">
        <w:rPr>
          <w:rFonts w:ascii="Times New Roman" w:hAnsi="Times New Roman" w:cs="Times New Roman"/>
        </w:rPr>
        <w:t>Civil Construction, Electromechanical, Wielder, Driving, Refrigeration &amp; Air-Conditioning and Care</w:t>
      </w:r>
      <w:r w:rsidR="005E241D">
        <w:rPr>
          <w:rFonts w:ascii="Times New Roman" w:hAnsi="Times New Roman" w:cs="Times New Roman"/>
        </w:rPr>
        <w:t>g</w:t>
      </w:r>
      <w:r w:rsidR="00764399">
        <w:rPr>
          <w:rFonts w:ascii="Times New Roman" w:hAnsi="Times New Roman" w:cs="Times New Roman"/>
        </w:rPr>
        <w:t>iver.</w:t>
      </w:r>
    </w:p>
    <w:p w14:paraId="31D73C5D" w14:textId="77777777" w:rsidR="00F70E73" w:rsidRPr="00F70E73" w:rsidRDefault="00F70E73" w:rsidP="00F70E73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154AD882" w14:textId="29338897" w:rsidR="003A5709" w:rsidRDefault="00A37640" w:rsidP="00F70E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436AB">
        <w:rPr>
          <w:rFonts w:ascii="Times New Roman" w:hAnsi="Times New Roman" w:cs="Times New Roman"/>
          <w:b/>
          <w:bCs/>
        </w:rPr>
        <w:t>Local Certification:</w:t>
      </w:r>
      <w:r>
        <w:rPr>
          <w:rFonts w:ascii="Times New Roman" w:hAnsi="Times New Roman" w:cs="Times New Roman"/>
        </w:rPr>
        <w:t xml:space="preserve"> </w:t>
      </w:r>
      <w:r w:rsidR="00F41432">
        <w:rPr>
          <w:rFonts w:ascii="Times New Roman" w:hAnsi="Times New Roman" w:cs="Times New Roman"/>
        </w:rPr>
        <w:t xml:space="preserve">a) </w:t>
      </w:r>
      <w:r w:rsidRPr="00A37640">
        <w:rPr>
          <w:rFonts w:ascii="Times New Roman" w:hAnsi="Times New Roman" w:cs="Times New Roman"/>
        </w:rPr>
        <w:t>National Skills Development Authority (NSDA) (Up to Level 4)</w:t>
      </w:r>
      <w:r w:rsidR="00F41432">
        <w:rPr>
          <w:rFonts w:ascii="Times New Roman" w:hAnsi="Times New Roman" w:cs="Times New Roman"/>
        </w:rPr>
        <w:t xml:space="preserve">, b) </w:t>
      </w:r>
      <w:r w:rsidRPr="00A37640">
        <w:rPr>
          <w:rFonts w:ascii="Times New Roman" w:hAnsi="Times New Roman" w:cs="Times New Roman"/>
        </w:rPr>
        <w:t>Institutional (RTO)</w:t>
      </w:r>
      <w:r w:rsidR="00F41432">
        <w:rPr>
          <w:rFonts w:ascii="Times New Roman" w:hAnsi="Times New Roman" w:cs="Times New Roman"/>
        </w:rPr>
        <w:t xml:space="preserve">, c) </w:t>
      </w:r>
      <w:r w:rsidRPr="00A37640">
        <w:rPr>
          <w:rFonts w:ascii="Times New Roman" w:hAnsi="Times New Roman" w:cs="Times New Roman"/>
        </w:rPr>
        <w:t>Occupational Health &amp; Safety</w:t>
      </w:r>
      <w:r w:rsidR="00F41432">
        <w:rPr>
          <w:rFonts w:ascii="Times New Roman" w:hAnsi="Times New Roman" w:cs="Times New Roman"/>
        </w:rPr>
        <w:t xml:space="preserve">, and d) </w:t>
      </w:r>
      <w:r w:rsidRPr="00A37640">
        <w:rPr>
          <w:rFonts w:ascii="Times New Roman" w:hAnsi="Times New Roman" w:cs="Times New Roman"/>
        </w:rPr>
        <w:t>PPE</w:t>
      </w:r>
      <w:r w:rsidR="00F41432">
        <w:rPr>
          <w:rFonts w:ascii="Times New Roman" w:hAnsi="Times New Roman" w:cs="Times New Roman"/>
        </w:rPr>
        <w:t>.</w:t>
      </w:r>
    </w:p>
    <w:p w14:paraId="390BC34D" w14:textId="77777777" w:rsidR="00F70E73" w:rsidRPr="00F70E73" w:rsidRDefault="00F70E73" w:rsidP="00F70E73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1766ADBE" w14:textId="13502E87" w:rsidR="00F41432" w:rsidRDefault="00F41432" w:rsidP="00F70E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41432">
        <w:rPr>
          <w:rFonts w:ascii="Times New Roman" w:hAnsi="Times New Roman" w:cs="Times New Roman"/>
          <w:b/>
          <w:bCs/>
        </w:rPr>
        <w:t>International Certification</w:t>
      </w:r>
      <w:r w:rsidRPr="006436A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a) </w:t>
      </w:r>
      <w:r w:rsidRPr="00F41432">
        <w:rPr>
          <w:rFonts w:ascii="Times New Roman" w:hAnsi="Times New Roman" w:cs="Times New Roman"/>
        </w:rPr>
        <w:t>Direct Employer Certification</w:t>
      </w:r>
      <w:r>
        <w:rPr>
          <w:rFonts w:ascii="Times New Roman" w:hAnsi="Times New Roman" w:cs="Times New Roman"/>
        </w:rPr>
        <w:t xml:space="preserve">, b) </w:t>
      </w:r>
      <w:r w:rsidRPr="00F41432">
        <w:rPr>
          <w:rFonts w:ascii="Times New Roman" w:hAnsi="Times New Roman" w:cs="Times New Roman"/>
        </w:rPr>
        <w:t>Online based Training Program Certification</w:t>
      </w:r>
      <w:r w:rsidR="00FE1BA8">
        <w:rPr>
          <w:rFonts w:ascii="Times New Roman" w:hAnsi="Times New Roman" w:cs="Times New Roman"/>
        </w:rPr>
        <w:t xml:space="preserve">, c) </w:t>
      </w:r>
      <w:r w:rsidRPr="00F41432">
        <w:rPr>
          <w:rFonts w:ascii="Times New Roman" w:hAnsi="Times New Roman" w:cs="Times New Roman"/>
        </w:rPr>
        <w:t>Different Professional Certification</w:t>
      </w:r>
      <w:r w:rsidR="00FE1BA8">
        <w:rPr>
          <w:rFonts w:ascii="Times New Roman" w:hAnsi="Times New Roman" w:cs="Times New Roman"/>
        </w:rPr>
        <w:t xml:space="preserve">, d) </w:t>
      </w:r>
      <w:r w:rsidRPr="00F41432">
        <w:rPr>
          <w:rFonts w:ascii="Times New Roman" w:hAnsi="Times New Roman" w:cs="Times New Roman"/>
        </w:rPr>
        <w:t>Sector Wise International Association Certification (NFDA, OSHA, IIW etc.)</w:t>
      </w:r>
      <w:r w:rsidR="00FE1BA8">
        <w:rPr>
          <w:rFonts w:ascii="Times New Roman" w:hAnsi="Times New Roman" w:cs="Times New Roman"/>
        </w:rPr>
        <w:t>.</w:t>
      </w:r>
    </w:p>
    <w:p w14:paraId="0615A473" w14:textId="77777777" w:rsidR="00F70E73" w:rsidRPr="00F70E73" w:rsidRDefault="00F70E73" w:rsidP="00F70E73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21C54F16" w14:textId="421607AE" w:rsidR="00FF6F9E" w:rsidRPr="006436AB" w:rsidRDefault="00E25C49" w:rsidP="00F70E7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6436AB">
        <w:rPr>
          <w:rFonts w:ascii="Times New Roman" w:hAnsi="Times New Roman" w:cs="Times New Roman"/>
          <w:b/>
          <w:bCs/>
        </w:rPr>
        <w:t>Return on Investment: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1980"/>
        <w:gridCol w:w="1350"/>
        <w:gridCol w:w="2430"/>
        <w:gridCol w:w="1530"/>
      </w:tblGrid>
      <w:tr w:rsidR="003F5EFE" w14:paraId="27DE5925" w14:textId="77777777" w:rsidTr="003F5EFE">
        <w:trPr>
          <w:jc w:val="center"/>
        </w:trPr>
        <w:tc>
          <w:tcPr>
            <w:tcW w:w="3325" w:type="dxa"/>
            <w:vAlign w:val="center"/>
          </w:tcPr>
          <w:p w14:paraId="7D25F820" w14:textId="3EB34B84" w:rsidR="00152C10" w:rsidRPr="00C843DD" w:rsidRDefault="00152C10" w:rsidP="003F5E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43DD">
              <w:rPr>
                <w:rFonts w:ascii="Times New Roman" w:hAnsi="Times New Roman" w:cs="Times New Roman"/>
                <w:b/>
                <w:bCs/>
              </w:rPr>
              <w:t>Trade</w:t>
            </w:r>
          </w:p>
        </w:tc>
        <w:tc>
          <w:tcPr>
            <w:tcW w:w="1980" w:type="dxa"/>
            <w:vAlign w:val="center"/>
          </w:tcPr>
          <w:p w14:paraId="34ACEF84" w14:textId="08391A99" w:rsidR="00152C10" w:rsidRPr="00C843DD" w:rsidRDefault="00152C10" w:rsidP="003F5E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43DD">
              <w:rPr>
                <w:rFonts w:ascii="Times New Roman" w:hAnsi="Times New Roman" w:cs="Times New Roman"/>
                <w:b/>
                <w:bCs/>
              </w:rPr>
              <w:t>Investment</w:t>
            </w:r>
            <w:r w:rsidR="006C0937" w:rsidRPr="00C843DD">
              <w:rPr>
                <w:rFonts w:ascii="Times New Roman" w:hAnsi="Times New Roman" w:cs="Times New Roman"/>
                <w:b/>
                <w:bCs/>
              </w:rPr>
              <w:t xml:space="preserve"> (BDT)</w:t>
            </w:r>
          </w:p>
        </w:tc>
        <w:tc>
          <w:tcPr>
            <w:tcW w:w="1350" w:type="dxa"/>
            <w:vAlign w:val="center"/>
          </w:tcPr>
          <w:p w14:paraId="3549389C" w14:textId="194859D4" w:rsidR="00152C10" w:rsidRPr="00C843DD" w:rsidRDefault="00152C10" w:rsidP="003F5E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43DD">
              <w:rPr>
                <w:rFonts w:ascii="Times New Roman" w:hAnsi="Times New Roman" w:cs="Times New Roman"/>
                <w:b/>
                <w:bCs/>
              </w:rPr>
              <w:t>Visa Period</w:t>
            </w:r>
          </w:p>
        </w:tc>
        <w:tc>
          <w:tcPr>
            <w:tcW w:w="2430" w:type="dxa"/>
            <w:vAlign w:val="center"/>
          </w:tcPr>
          <w:p w14:paraId="6EFF8715" w14:textId="3A39247B" w:rsidR="00152C10" w:rsidRPr="00C843DD" w:rsidRDefault="00152C10" w:rsidP="003F5E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43DD">
              <w:rPr>
                <w:rFonts w:ascii="Times New Roman" w:hAnsi="Times New Roman" w:cs="Times New Roman"/>
                <w:b/>
                <w:bCs/>
              </w:rPr>
              <w:t>Monthly Return</w:t>
            </w:r>
            <w:r w:rsidR="00522A38" w:rsidRPr="00C843DD">
              <w:rPr>
                <w:rFonts w:ascii="Times New Roman" w:hAnsi="Times New Roman" w:cs="Times New Roman"/>
                <w:b/>
                <w:bCs/>
              </w:rPr>
              <w:t xml:space="preserve"> (BDT)</w:t>
            </w:r>
          </w:p>
        </w:tc>
        <w:tc>
          <w:tcPr>
            <w:tcW w:w="1530" w:type="dxa"/>
            <w:vAlign w:val="center"/>
          </w:tcPr>
          <w:p w14:paraId="696D7996" w14:textId="29886328" w:rsidR="00152C10" w:rsidRPr="00C843DD" w:rsidRDefault="00152C10" w:rsidP="003F5E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43DD">
              <w:rPr>
                <w:rFonts w:ascii="Times New Roman" w:hAnsi="Times New Roman" w:cs="Times New Roman"/>
                <w:b/>
                <w:bCs/>
              </w:rPr>
              <w:t>Return</w:t>
            </w:r>
            <w:r w:rsidR="006C0937" w:rsidRPr="00C843DD">
              <w:rPr>
                <w:rFonts w:ascii="Times New Roman" w:hAnsi="Times New Roman" w:cs="Times New Roman"/>
                <w:b/>
                <w:bCs/>
              </w:rPr>
              <w:t xml:space="preserve"> Ratio</w:t>
            </w:r>
          </w:p>
        </w:tc>
      </w:tr>
      <w:tr w:rsidR="003F5EFE" w14:paraId="01AF41D3" w14:textId="77777777" w:rsidTr="003F5EFE">
        <w:trPr>
          <w:jc w:val="center"/>
        </w:trPr>
        <w:tc>
          <w:tcPr>
            <w:tcW w:w="3325" w:type="dxa"/>
            <w:vAlign w:val="center"/>
          </w:tcPr>
          <w:p w14:paraId="33022F59" w14:textId="6E68A95F" w:rsidR="00152C10" w:rsidRDefault="00152C10" w:rsidP="003F5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Civil Construction, Electromechanical, Wielder, Driving, Refrigeration &amp; Air-Conditioning</w:t>
            </w:r>
          </w:p>
        </w:tc>
        <w:tc>
          <w:tcPr>
            <w:tcW w:w="1980" w:type="dxa"/>
            <w:vAlign w:val="center"/>
          </w:tcPr>
          <w:p w14:paraId="75DF3322" w14:textId="391DD3C0" w:rsidR="00152C10" w:rsidRDefault="00152C10" w:rsidP="003F5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50,000-60,000</w:t>
            </w:r>
          </w:p>
        </w:tc>
        <w:tc>
          <w:tcPr>
            <w:tcW w:w="1350" w:type="dxa"/>
            <w:vAlign w:val="center"/>
          </w:tcPr>
          <w:p w14:paraId="05CE70DA" w14:textId="06CDF7EA" w:rsidR="00152C10" w:rsidRDefault="006C0937" w:rsidP="003F5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months</w:t>
            </w:r>
          </w:p>
        </w:tc>
        <w:tc>
          <w:tcPr>
            <w:tcW w:w="2430" w:type="dxa"/>
            <w:vAlign w:val="center"/>
          </w:tcPr>
          <w:p w14:paraId="597B683A" w14:textId="68DE372A" w:rsidR="00152C10" w:rsidRDefault="006C0937" w:rsidP="003F5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40,000-50,000</w:t>
            </w:r>
          </w:p>
        </w:tc>
        <w:tc>
          <w:tcPr>
            <w:tcW w:w="1530" w:type="dxa"/>
            <w:vAlign w:val="center"/>
          </w:tcPr>
          <w:p w14:paraId="0EB99C56" w14:textId="40E267B3" w:rsidR="00152C10" w:rsidRDefault="006C0937" w:rsidP="003F5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times</w:t>
            </w:r>
          </w:p>
        </w:tc>
      </w:tr>
      <w:tr w:rsidR="003F5EFE" w14:paraId="5B1C2A79" w14:textId="77777777" w:rsidTr="003F5EFE">
        <w:trPr>
          <w:jc w:val="center"/>
        </w:trPr>
        <w:tc>
          <w:tcPr>
            <w:tcW w:w="3325" w:type="dxa"/>
            <w:vAlign w:val="center"/>
          </w:tcPr>
          <w:p w14:paraId="32A7A0F8" w14:textId="4036A396" w:rsidR="00152C10" w:rsidRDefault="00C24813" w:rsidP="003F5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Caregiver</w:t>
            </w:r>
          </w:p>
        </w:tc>
        <w:tc>
          <w:tcPr>
            <w:tcW w:w="1980" w:type="dxa"/>
            <w:vAlign w:val="center"/>
          </w:tcPr>
          <w:p w14:paraId="63D7194B" w14:textId="72903B4D" w:rsidR="00152C10" w:rsidRDefault="00522A38" w:rsidP="003F5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1,00,000-1,20,000</w:t>
            </w:r>
          </w:p>
        </w:tc>
        <w:tc>
          <w:tcPr>
            <w:tcW w:w="1350" w:type="dxa"/>
            <w:vAlign w:val="center"/>
          </w:tcPr>
          <w:p w14:paraId="4DF22BDC" w14:textId="61F2390F" w:rsidR="00152C10" w:rsidRDefault="00522A38" w:rsidP="003F5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months</w:t>
            </w:r>
          </w:p>
        </w:tc>
        <w:tc>
          <w:tcPr>
            <w:tcW w:w="2430" w:type="dxa"/>
            <w:vAlign w:val="center"/>
          </w:tcPr>
          <w:p w14:paraId="1EC8F12A" w14:textId="2A909502" w:rsidR="00152C10" w:rsidRDefault="00522A38" w:rsidP="003F5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60,000-80,000</w:t>
            </w:r>
          </w:p>
        </w:tc>
        <w:tc>
          <w:tcPr>
            <w:tcW w:w="1530" w:type="dxa"/>
            <w:vAlign w:val="center"/>
          </w:tcPr>
          <w:p w14:paraId="5E897A0D" w14:textId="1AB39BB4" w:rsidR="00152C10" w:rsidRDefault="00522A38" w:rsidP="003F5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times</w:t>
            </w:r>
          </w:p>
        </w:tc>
      </w:tr>
      <w:tr w:rsidR="003F5EFE" w14:paraId="6EB5A086" w14:textId="77777777" w:rsidTr="003F5EFE">
        <w:trPr>
          <w:jc w:val="center"/>
        </w:trPr>
        <w:tc>
          <w:tcPr>
            <w:tcW w:w="3325" w:type="dxa"/>
            <w:vAlign w:val="center"/>
          </w:tcPr>
          <w:p w14:paraId="2A398E71" w14:textId="72AC347E" w:rsidR="00522A38" w:rsidRDefault="00522A38" w:rsidP="003F5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Nursing &amp; Hospitality Management</w:t>
            </w:r>
          </w:p>
        </w:tc>
        <w:tc>
          <w:tcPr>
            <w:tcW w:w="1980" w:type="dxa"/>
            <w:vAlign w:val="center"/>
          </w:tcPr>
          <w:p w14:paraId="7D1A5CDD" w14:textId="2E3EB188" w:rsidR="00522A38" w:rsidRDefault="00522A38" w:rsidP="003F5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1,00,000-1,20,000</w:t>
            </w:r>
          </w:p>
        </w:tc>
        <w:tc>
          <w:tcPr>
            <w:tcW w:w="1350" w:type="dxa"/>
            <w:vAlign w:val="center"/>
          </w:tcPr>
          <w:p w14:paraId="776985FD" w14:textId="362D71C5" w:rsidR="00522A38" w:rsidRDefault="00522A38" w:rsidP="003F5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months</w:t>
            </w:r>
          </w:p>
        </w:tc>
        <w:tc>
          <w:tcPr>
            <w:tcW w:w="2430" w:type="dxa"/>
            <w:vAlign w:val="center"/>
          </w:tcPr>
          <w:p w14:paraId="1C49855C" w14:textId="0872515C" w:rsidR="00522A38" w:rsidRDefault="00522A38" w:rsidP="003F5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60,000-80,000</w:t>
            </w:r>
          </w:p>
        </w:tc>
        <w:tc>
          <w:tcPr>
            <w:tcW w:w="1530" w:type="dxa"/>
            <w:vAlign w:val="center"/>
          </w:tcPr>
          <w:p w14:paraId="264636EB" w14:textId="24A7F224" w:rsidR="00522A38" w:rsidRDefault="00522A38" w:rsidP="003F5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times</w:t>
            </w:r>
          </w:p>
        </w:tc>
      </w:tr>
    </w:tbl>
    <w:p w14:paraId="6BC40872" w14:textId="77777777" w:rsidR="005F623B" w:rsidRPr="009364B2" w:rsidRDefault="005F623B" w:rsidP="00F70E73">
      <w:pPr>
        <w:spacing w:after="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53CCD571" w14:textId="77777777" w:rsidR="00832923" w:rsidRPr="00832923" w:rsidRDefault="00832923" w:rsidP="00F70E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5EEE19C1" w14:textId="74252D55" w:rsidR="00FE1BA8" w:rsidRDefault="005F623B" w:rsidP="00F70E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3290">
        <w:rPr>
          <w:rFonts w:ascii="Times New Roman" w:hAnsi="Times New Roman" w:cs="Times New Roman"/>
          <w:b/>
          <w:bCs/>
        </w:rPr>
        <w:t>Covid-19 Preparedness:</w:t>
      </w:r>
      <w:r>
        <w:rPr>
          <w:rFonts w:ascii="Times New Roman" w:hAnsi="Times New Roman" w:cs="Times New Roman"/>
        </w:rPr>
        <w:t xml:space="preserve"> </w:t>
      </w:r>
      <w:r w:rsidR="004D2125" w:rsidRPr="004D2125">
        <w:rPr>
          <w:rFonts w:ascii="Times New Roman" w:hAnsi="Times New Roman" w:cs="Times New Roman"/>
        </w:rPr>
        <w:t>Due to COVID-19 impact most of migrant worker are in danger for losing their job. Especially Middle east and European migrants are facing a lot of problem.</w:t>
      </w:r>
      <w:r w:rsidR="00A75A72">
        <w:rPr>
          <w:rFonts w:ascii="Times New Roman" w:hAnsi="Times New Roman" w:cs="Times New Roman"/>
        </w:rPr>
        <w:t xml:space="preserve"> However, the return migrant </w:t>
      </w:r>
      <w:r w:rsidR="00A5472E">
        <w:rPr>
          <w:rFonts w:ascii="Times New Roman" w:hAnsi="Times New Roman" w:cs="Times New Roman"/>
        </w:rPr>
        <w:t>knows</w:t>
      </w:r>
      <w:r w:rsidR="00A75A72">
        <w:rPr>
          <w:rFonts w:ascii="Times New Roman" w:hAnsi="Times New Roman" w:cs="Times New Roman"/>
        </w:rPr>
        <w:t xml:space="preserve"> the language</w:t>
      </w:r>
      <w:r w:rsidR="00A5472E">
        <w:rPr>
          <w:rFonts w:ascii="Times New Roman" w:hAnsi="Times New Roman" w:cs="Times New Roman"/>
        </w:rPr>
        <w:t xml:space="preserve"> and</w:t>
      </w:r>
      <w:r w:rsidR="00A75A72">
        <w:rPr>
          <w:rFonts w:ascii="Times New Roman" w:hAnsi="Times New Roman" w:cs="Times New Roman"/>
        </w:rPr>
        <w:t xml:space="preserve"> they have the local communication</w:t>
      </w:r>
      <w:r w:rsidR="00A5472E">
        <w:rPr>
          <w:rFonts w:ascii="Times New Roman" w:hAnsi="Times New Roman" w:cs="Times New Roman"/>
        </w:rPr>
        <w:t xml:space="preserve">. Just they required another relevant trade training rather than their present skill. If our team can provide </w:t>
      </w:r>
      <w:r w:rsidR="00A54A35">
        <w:rPr>
          <w:rFonts w:ascii="Times New Roman" w:hAnsi="Times New Roman" w:cs="Times New Roman"/>
        </w:rPr>
        <w:t>just another trade training, the millions of return migrant can join their job again without facilitating major support.</w:t>
      </w:r>
    </w:p>
    <w:p w14:paraId="51491B8D" w14:textId="77777777" w:rsidR="00832923" w:rsidRPr="00832923" w:rsidRDefault="00832923" w:rsidP="00F70E73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12DDE5F1" w14:textId="0A1F6D1B" w:rsidR="00752A29" w:rsidRDefault="00752A29" w:rsidP="00F70E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3534E">
        <w:rPr>
          <w:rFonts w:ascii="Times New Roman" w:hAnsi="Times New Roman" w:cs="Times New Roman"/>
          <w:b/>
          <w:bCs/>
        </w:rPr>
        <w:t>Contribution on SDG:</w:t>
      </w:r>
      <w:r w:rsidR="00570013">
        <w:rPr>
          <w:rFonts w:ascii="Times New Roman" w:hAnsi="Times New Roman" w:cs="Times New Roman"/>
        </w:rPr>
        <w:t xml:space="preserve"> Goal </w:t>
      </w:r>
      <w:r w:rsidR="00B74A70">
        <w:rPr>
          <w:rFonts w:ascii="Times New Roman" w:hAnsi="Times New Roman" w:cs="Times New Roman"/>
        </w:rPr>
        <w:t>1</w:t>
      </w:r>
      <w:r w:rsidR="00570013">
        <w:rPr>
          <w:rFonts w:ascii="Times New Roman" w:hAnsi="Times New Roman" w:cs="Times New Roman"/>
        </w:rPr>
        <w:t xml:space="preserve"> (No Poverty), Goal </w:t>
      </w:r>
      <w:r w:rsidR="00B74A70">
        <w:rPr>
          <w:rFonts w:ascii="Times New Roman" w:hAnsi="Times New Roman" w:cs="Times New Roman"/>
        </w:rPr>
        <w:t>8</w:t>
      </w:r>
      <w:r w:rsidR="00570013">
        <w:rPr>
          <w:rFonts w:ascii="Times New Roman" w:hAnsi="Times New Roman" w:cs="Times New Roman"/>
        </w:rPr>
        <w:t xml:space="preserve"> (Decent Work and Economic Growth), and Goal </w:t>
      </w:r>
      <w:r w:rsidR="00B74A70">
        <w:rPr>
          <w:rFonts w:ascii="Times New Roman" w:hAnsi="Times New Roman" w:cs="Times New Roman"/>
        </w:rPr>
        <w:t>10</w:t>
      </w:r>
      <w:r w:rsidR="00570013">
        <w:rPr>
          <w:rFonts w:ascii="Times New Roman" w:hAnsi="Times New Roman" w:cs="Times New Roman"/>
        </w:rPr>
        <w:t xml:space="preserve"> (Reduced Inequalities).</w:t>
      </w:r>
    </w:p>
    <w:p w14:paraId="72439661" w14:textId="77777777" w:rsidR="00832923" w:rsidRPr="00832923" w:rsidRDefault="00832923" w:rsidP="00F70E73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2573840D" w14:textId="25ECF0F7" w:rsidR="00752A29" w:rsidRDefault="00752A29" w:rsidP="00F70E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3534E">
        <w:rPr>
          <w:rFonts w:ascii="Times New Roman" w:hAnsi="Times New Roman" w:cs="Times New Roman"/>
          <w:b/>
          <w:bCs/>
        </w:rPr>
        <w:t>Social Inclusion</w:t>
      </w:r>
      <w:r w:rsidR="006B1C80" w:rsidRPr="0063534E">
        <w:rPr>
          <w:rFonts w:ascii="Times New Roman" w:hAnsi="Times New Roman" w:cs="Times New Roman"/>
          <w:b/>
          <w:bCs/>
        </w:rPr>
        <w:t>:</w:t>
      </w:r>
      <w:r w:rsidR="006B1C80">
        <w:rPr>
          <w:rFonts w:ascii="Times New Roman" w:hAnsi="Times New Roman" w:cs="Times New Roman"/>
        </w:rPr>
        <w:t xml:space="preserve"> </w:t>
      </w:r>
      <w:r w:rsidR="00F73936">
        <w:rPr>
          <w:rFonts w:ascii="Times New Roman" w:hAnsi="Times New Roman" w:cs="Times New Roman"/>
        </w:rPr>
        <w:t>T</w:t>
      </w:r>
      <w:r w:rsidR="00570013">
        <w:rPr>
          <w:rFonts w:ascii="Times New Roman" w:hAnsi="Times New Roman" w:cs="Times New Roman"/>
        </w:rPr>
        <w:t xml:space="preserve">o manage the social inclusion according to the ADB guidelines, </w:t>
      </w:r>
      <w:r w:rsidR="006A13D9">
        <w:rPr>
          <w:rFonts w:ascii="Times New Roman" w:hAnsi="Times New Roman" w:cs="Times New Roman"/>
        </w:rPr>
        <w:t>special</w:t>
      </w:r>
      <w:r w:rsidR="00570013">
        <w:rPr>
          <w:rFonts w:ascii="Times New Roman" w:hAnsi="Times New Roman" w:cs="Times New Roman"/>
        </w:rPr>
        <w:t xml:space="preserve"> focus</w:t>
      </w:r>
      <w:r w:rsidR="006A13D9">
        <w:rPr>
          <w:rFonts w:ascii="Times New Roman" w:hAnsi="Times New Roman" w:cs="Times New Roman"/>
        </w:rPr>
        <w:t xml:space="preserve"> is given</w:t>
      </w:r>
      <w:r w:rsidR="00570013">
        <w:rPr>
          <w:rFonts w:ascii="Times New Roman" w:hAnsi="Times New Roman" w:cs="Times New Roman"/>
        </w:rPr>
        <w:t xml:space="preserve"> </w:t>
      </w:r>
      <w:r w:rsidR="006A13D9">
        <w:rPr>
          <w:rFonts w:ascii="Times New Roman" w:hAnsi="Times New Roman" w:cs="Times New Roman"/>
        </w:rPr>
        <w:t>on a) gender equality, b) gender mainstreaming in foreign remittance, c) disabled person</w:t>
      </w:r>
      <w:r w:rsidR="00FD1B03">
        <w:rPr>
          <w:rFonts w:ascii="Times New Roman" w:hAnsi="Times New Roman" w:cs="Times New Roman"/>
        </w:rPr>
        <w:t xml:space="preserve"> quota</w:t>
      </w:r>
      <w:r w:rsidR="006A13D9">
        <w:rPr>
          <w:rFonts w:ascii="Times New Roman" w:hAnsi="Times New Roman" w:cs="Times New Roman"/>
        </w:rPr>
        <w:t xml:space="preserve">, d) </w:t>
      </w:r>
      <w:r w:rsidR="00FD1B03">
        <w:rPr>
          <w:rFonts w:ascii="Times New Roman" w:hAnsi="Times New Roman" w:cs="Times New Roman"/>
        </w:rPr>
        <w:t>ethnic group quota, e) special need person quota</w:t>
      </w:r>
    </w:p>
    <w:p w14:paraId="0DE4F299" w14:textId="77777777" w:rsidR="00832923" w:rsidRPr="00832923" w:rsidRDefault="00832923" w:rsidP="00F70E73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5B5712D1" w14:textId="233B9A45" w:rsidR="00752A29" w:rsidRDefault="00752A29" w:rsidP="00F70E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3534E">
        <w:rPr>
          <w:rFonts w:ascii="Times New Roman" w:hAnsi="Times New Roman" w:cs="Times New Roman"/>
          <w:b/>
          <w:bCs/>
        </w:rPr>
        <w:t xml:space="preserve">Special </w:t>
      </w:r>
      <w:r w:rsidR="0063534E" w:rsidRPr="0063534E">
        <w:rPr>
          <w:rFonts w:ascii="Times New Roman" w:hAnsi="Times New Roman" w:cs="Times New Roman"/>
          <w:b/>
          <w:bCs/>
        </w:rPr>
        <w:t>Arrangement:</w:t>
      </w:r>
      <w:r w:rsidR="006B1C80">
        <w:rPr>
          <w:rFonts w:ascii="Times New Roman" w:hAnsi="Times New Roman" w:cs="Times New Roman"/>
        </w:rPr>
        <w:t xml:space="preserve"> </w:t>
      </w:r>
      <w:r w:rsidR="0063534E">
        <w:rPr>
          <w:rFonts w:ascii="Times New Roman" w:hAnsi="Times New Roman" w:cs="Times New Roman"/>
        </w:rPr>
        <w:t>S</w:t>
      </w:r>
      <w:r w:rsidR="00FD1B03">
        <w:rPr>
          <w:rFonts w:ascii="Times New Roman" w:hAnsi="Times New Roman" w:cs="Times New Roman"/>
        </w:rPr>
        <w:t>pecial training program for gender, disabled, ethnic</w:t>
      </w:r>
      <w:r w:rsidR="0063534E">
        <w:rPr>
          <w:rFonts w:ascii="Times New Roman" w:hAnsi="Times New Roman" w:cs="Times New Roman"/>
        </w:rPr>
        <w:t xml:space="preserve"> and special need person.</w:t>
      </w:r>
    </w:p>
    <w:p w14:paraId="409A15DE" w14:textId="77777777" w:rsidR="00832923" w:rsidRPr="00832923" w:rsidRDefault="00832923" w:rsidP="00F70E73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0082D010" w14:textId="5EDDA821" w:rsidR="00AC2420" w:rsidRPr="002405B5" w:rsidRDefault="00A06100" w:rsidP="00F70E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6100">
        <w:rPr>
          <w:rFonts w:ascii="Times New Roman" w:hAnsi="Times New Roman" w:cs="Times New Roman"/>
          <w:b/>
          <w:bCs/>
        </w:rPr>
        <w:t>D</w:t>
      </w:r>
      <w:r w:rsidRPr="00A06100">
        <w:rPr>
          <w:rFonts w:ascii="Times New Roman" w:hAnsi="Times New Roman" w:cs="Times New Roman"/>
          <w:b/>
          <w:bCs/>
        </w:rPr>
        <w:t>iscouraged</w:t>
      </w:r>
      <w:r>
        <w:rPr>
          <w:rFonts w:ascii="Times New Roman" w:hAnsi="Times New Roman" w:cs="Times New Roman"/>
        </w:rPr>
        <w:t xml:space="preserve"> </w:t>
      </w:r>
      <w:r w:rsidR="00AC2420" w:rsidRPr="00257D15">
        <w:rPr>
          <w:rFonts w:ascii="Times New Roman" w:hAnsi="Times New Roman" w:cs="Times New Roman"/>
          <w:b/>
          <w:bCs/>
        </w:rPr>
        <w:t>Activities:</w:t>
      </w:r>
      <w:r w:rsidR="00AC2420">
        <w:rPr>
          <w:rFonts w:ascii="Times New Roman" w:hAnsi="Times New Roman" w:cs="Times New Roman"/>
        </w:rPr>
        <w:t xml:space="preserve"> </w:t>
      </w:r>
      <w:r w:rsidR="00910989">
        <w:rPr>
          <w:rFonts w:ascii="Times New Roman" w:hAnsi="Times New Roman" w:cs="Times New Roman"/>
        </w:rPr>
        <w:t>A</w:t>
      </w:r>
      <w:r w:rsidR="00700DEB">
        <w:rPr>
          <w:rFonts w:ascii="Times New Roman" w:hAnsi="Times New Roman" w:cs="Times New Roman"/>
        </w:rPr>
        <w:t xml:space="preserve">ccording to ADB Safeguard Policy Statement, </w:t>
      </w:r>
      <w:r w:rsidR="00224E6A">
        <w:rPr>
          <w:rFonts w:ascii="Times New Roman" w:hAnsi="Times New Roman" w:cs="Times New Roman"/>
        </w:rPr>
        <w:t>mention</w:t>
      </w:r>
      <w:r w:rsidR="00910989">
        <w:rPr>
          <w:rFonts w:ascii="Times New Roman" w:hAnsi="Times New Roman" w:cs="Times New Roman"/>
        </w:rPr>
        <w:t>ed</w:t>
      </w:r>
      <w:r w:rsidR="00224E6A">
        <w:rPr>
          <w:rFonts w:ascii="Times New Roman" w:hAnsi="Times New Roman" w:cs="Times New Roman"/>
        </w:rPr>
        <w:t xml:space="preserve"> </w:t>
      </w:r>
      <w:r w:rsidR="00F73936">
        <w:rPr>
          <w:rFonts w:ascii="Times New Roman" w:hAnsi="Times New Roman" w:cs="Times New Roman"/>
        </w:rPr>
        <w:t>ten (</w:t>
      </w:r>
      <w:r w:rsidR="00224E6A">
        <w:rPr>
          <w:rFonts w:ascii="Times New Roman" w:hAnsi="Times New Roman" w:cs="Times New Roman"/>
        </w:rPr>
        <w:t>10</w:t>
      </w:r>
      <w:r w:rsidR="00F73936">
        <w:rPr>
          <w:rFonts w:ascii="Times New Roman" w:hAnsi="Times New Roman" w:cs="Times New Roman"/>
        </w:rPr>
        <w:t>)</w:t>
      </w:r>
      <w:r w:rsidR="00224E6A">
        <w:rPr>
          <w:rFonts w:ascii="Times New Roman" w:hAnsi="Times New Roman" w:cs="Times New Roman"/>
        </w:rPr>
        <w:t xml:space="preserve"> ADB prohibited investment activities list is highly discouraged in our program.</w:t>
      </w:r>
    </w:p>
    <w:sectPr w:rsidR="00AC2420" w:rsidRPr="002405B5" w:rsidSect="009602B7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204DC" w14:textId="77777777" w:rsidR="005B6F5D" w:rsidRDefault="005B6F5D" w:rsidP="00AB0822">
      <w:pPr>
        <w:spacing w:after="0" w:line="240" w:lineRule="auto"/>
      </w:pPr>
      <w:r>
        <w:separator/>
      </w:r>
    </w:p>
  </w:endnote>
  <w:endnote w:type="continuationSeparator" w:id="0">
    <w:p w14:paraId="0D0D22C2" w14:textId="77777777" w:rsidR="005B6F5D" w:rsidRDefault="005B6F5D" w:rsidP="00AB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F2CCE" w14:textId="77777777" w:rsidR="005B6F5D" w:rsidRDefault="005B6F5D" w:rsidP="00AB0822">
      <w:pPr>
        <w:spacing w:after="0" w:line="240" w:lineRule="auto"/>
      </w:pPr>
      <w:r>
        <w:separator/>
      </w:r>
    </w:p>
  </w:footnote>
  <w:footnote w:type="continuationSeparator" w:id="0">
    <w:p w14:paraId="1681BAD6" w14:textId="77777777" w:rsidR="005B6F5D" w:rsidRDefault="005B6F5D" w:rsidP="00AB0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E9B78" w14:textId="0CABBD19" w:rsidR="00AB0822" w:rsidRDefault="00CE02B2" w:rsidP="006D018D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4C6855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0D30B70" wp14:editId="26CC11D6">
          <wp:simplePos x="0" y="0"/>
          <wp:positionH relativeFrom="margin">
            <wp:align>right</wp:align>
          </wp:positionH>
          <wp:positionV relativeFrom="topMargin">
            <wp:posOffset>317251</wp:posOffset>
          </wp:positionV>
          <wp:extent cx="1517650" cy="484505"/>
          <wp:effectExtent l="0" t="0" r="635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650" cy="484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0822" w:rsidRPr="004C6855">
      <w:rPr>
        <w:rFonts w:ascii="Times New Roman" w:hAnsi="Times New Roman" w:cs="Times New Roman"/>
        <w:b/>
        <w:bCs/>
        <w:sz w:val="28"/>
        <w:szCs w:val="28"/>
      </w:rPr>
      <w:t>Skills for Employment Investment Program</w:t>
    </w:r>
  </w:p>
  <w:p w14:paraId="33820F0C" w14:textId="77777777" w:rsidR="00FC4727" w:rsidRPr="004C6855" w:rsidRDefault="00FC4727" w:rsidP="00FC4727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7B"/>
    <w:rsid w:val="0005261E"/>
    <w:rsid w:val="00075978"/>
    <w:rsid w:val="000D067B"/>
    <w:rsid w:val="000E6497"/>
    <w:rsid w:val="00152C10"/>
    <w:rsid w:val="00175A30"/>
    <w:rsid w:val="00224E6A"/>
    <w:rsid w:val="002405B5"/>
    <w:rsid w:val="00251FA8"/>
    <w:rsid w:val="00257D15"/>
    <w:rsid w:val="0027048A"/>
    <w:rsid w:val="0030119C"/>
    <w:rsid w:val="00304117"/>
    <w:rsid w:val="003A5709"/>
    <w:rsid w:val="003F5EFE"/>
    <w:rsid w:val="004135F0"/>
    <w:rsid w:val="00464485"/>
    <w:rsid w:val="004C6855"/>
    <w:rsid w:val="004D2125"/>
    <w:rsid w:val="00522A38"/>
    <w:rsid w:val="00533290"/>
    <w:rsid w:val="00570013"/>
    <w:rsid w:val="00583CF7"/>
    <w:rsid w:val="005B6F5D"/>
    <w:rsid w:val="005E241D"/>
    <w:rsid w:val="005F623B"/>
    <w:rsid w:val="00617E28"/>
    <w:rsid w:val="0063534E"/>
    <w:rsid w:val="006436AB"/>
    <w:rsid w:val="00685223"/>
    <w:rsid w:val="00686BB2"/>
    <w:rsid w:val="006A13D9"/>
    <w:rsid w:val="006B1C80"/>
    <w:rsid w:val="006C0937"/>
    <w:rsid w:val="006D018D"/>
    <w:rsid w:val="006F24EE"/>
    <w:rsid w:val="00700DEB"/>
    <w:rsid w:val="00730794"/>
    <w:rsid w:val="00752A29"/>
    <w:rsid w:val="00764399"/>
    <w:rsid w:val="0080175F"/>
    <w:rsid w:val="00812FF8"/>
    <w:rsid w:val="00832923"/>
    <w:rsid w:val="008860F2"/>
    <w:rsid w:val="008B07BB"/>
    <w:rsid w:val="00910989"/>
    <w:rsid w:val="009324A4"/>
    <w:rsid w:val="009364B2"/>
    <w:rsid w:val="009602B7"/>
    <w:rsid w:val="0096469B"/>
    <w:rsid w:val="009E1117"/>
    <w:rsid w:val="00A03720"/>
    <w:rsid w:val="00A06100"/>
    <w:rsid w:val="00A37640"/>
    <w:rsid w:val="00A5472E"/>
    <w:rsid w:val="00A54A35"/>
    <w:rsid w:val="00A56F2F"/>
    <w:rsid w:val="00A75A72"/>
    <w:rsid w:val="00AA2673"/>
    <w:rsid w:val="00AB0822"/>
    <w:rsid w:val="00AB3495"/>
    <w:rsid w:val="00AC2420"/>
    <w:rsid w:val="00B57141"/>
    <w:rsid w:val="00B74A70"/>
    <w:rsid w:val="00B949EC"/>
    <w:rsid w:val="00B97391"/>
    <w:rsid w:val="00C24813"/>
    <w:rsid w:val="00C41E49"/>
    <w:rsid w:val="00C843DD"/>
    <w:rsid w:val="00C92939"/>
    <w:rsid w:val="00CA2CEB"/>
    <w:rsid w:val="00CE02B2"/>
    <w:rsid w:val="00CE3486"/>
    <w:rsid w:val="00DA0010"/>
    <w:rsid w:val="00DD33CD"/>
    <w:rsid w:val="00DD6813"/>
    <w:rsid w:val="00DE7DA9"/>
    <w:rsid w:val="00E25C49"/>
    <w:rsid w:val="00E42C4B"/>
    <w:rsid w:val="00EE3350"/>
    <w:rsid w:val="00F173CB"/>
    <w:rsid w:val="00F41432"/>
    <w:rsid w:val="00F5794C"/>
    <w:rsid w:val="00F70E73"/>
    <w:rsid w:val="00F73936"/>
    <w:rsid w:val="00FC4727"/>
    <w:rsid w:val="00FD1B03"/>
    <w:rsid w:val="00FE1BA8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B7037"/>
  <w15:chartTrackingRefBased/>
  <w15:docId w15:val="{7BDD639A-E2D9-4A3B-A8EF-1CE24919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0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822"/>
  </w:style>
  <w:style w:type="paragraph" w:styleId="Footer">
    <w:name w:val="footer"/>
    <w:basedOn w:val="Normal"/>
    <w:link w:val="FooterChar"/>
    <w:uiPriority w:val="99"/>
    <w:unhideWhenUsed/>
    <w:rsid w:val="00AB0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62</cp:revision>
  <cp:lastPrinted>2020-12-09T11:56:00Z</cp:lastPrinted>
  <dcterms:created xsi:type="dcterms:W3CDTF">2020-12-09T10:48:00Z</dcterms:created>
  <dcterms:modified xsi:type="dcterms:W3CDTF">2020-12-09T11:58:00Z</dcterms:modified>
</cp:coreProperties>
</file>