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7EBA8" w14:textId="77777777" w:rsidR="003F6E7A" w:rsidRPr="003F6E7A" w:rsidRDefault="003F6E7A" w:rsidP="003F6E7A">
      <w:pPr>
        <w:widowControl/>
        <w:pBdr>
          <w:bottom w:val="single" w:sz="12" w:space="6" w:color="D5D5D5"/>
        </w:pBdr>
        <w:jc w:val="left"/>
        <w:outlineLvl w:val="1"/>
        <w:rPr>
          <w:rFonts w:ascii="Times New Roman" w:eastAsia="宋体" w:hAnsi="Times New Roman" w:cs="Times New Roman"/>
          <w:b/>
          <w:bCs/>
          <w:kern w:val="0"/>
          <w:sz w:val="36"/>
          <w:szCs w:val="36"/>
          <w14:ligatures w14:val="none"/>
        </w:rPr>
      </w:pPr>
      <w:r w:rsidRPr="003F6E7A">
        <w:rPr>
          <w:rFonts w:ascii="Times New Roman" w:eastAsia="宋体" w:hAnsi="Times New Roman" w:cs="Times New Roman"/>
          <w:b/>
          <w:bCs/>
          <w:kern w:val="0"/>
          <w:sz w:val="36"/>
          <w:szCs w:val="36"/>
          <w14:ligatures w14:val="none"/>
        </w:rPr>
        <w:t>Introduction</w:t>
      </w:r>
    </w:p>
    <w:p w14:paraId="4DD89274"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 xml:space="preserve">Daratumumab is a human </w:t>
      </w:r>
      <w:proofErr w:type="spellStart"/>
      <w:r w:rsidRPr="003F6E7A">
        <w:rPr>
          <w:rFonts w:ascii="Times New Roman" w:eastAsia="宋体" w:hAnsi="Times New Roman" w:cs="Times New Roman"/>
          <w:kern w:val="0"/>
          <w:sz w:val="24"/>
          <w:szCs w:val="24"/>
          <w14:ligatures w14:val="none"/>
        </w:rPr>
        <w:t>IgGκ</w:t>
      </w:r>
      <w:proofErr w:type="spellEnd"/>
      <w:r w:rsidRPr="003F6E7A">
        <w:rPr>
          <w:rFonts w:ascii="Times New Roman" w:eastAsia="宋体" w:hAnsi="Times New Roman" w:cs="Times New Roman"/>
          <w:kern w:val="0"/>
          <w:sz w:val="24"/>
          <w:szCs w:val="24"/>
          <w14:ligatures w14:val="none"/>
        </w:rPr>
        <w:t xml:space="preserve"> monoclonal antibody targeting CD38 with a direct on-tumor [</w:t>
      </w:r>
      <w:hyperlink r:id="rId4" w:anchor="ref-CR1" w:tooltip="de Weers M, Tai YT, van der Veer MS, Bakker JM, Vink T, Jacobs DCH, et al. Daratumumab, a novel therapeutic human CD38 monoclonal antibody, induces killing of multiple myeloma and other hematological tumors. J Immunol. 2011;186:1840–8." w:history="1">
        <w:r w:rsidRPr="003F6E7A">
          <w:rPr>
            <w:rFonts w:ascii="Times New Roman" w:eastAsia="宋体" w:hAnsi="Times New Roman" w:cs="Times New Roman"/>
            <w:color w:val="006699"/>
            <w:kern w:val="0"/>
            <w:sz w:val="24"/>
            <w:szCs w:val="24"/>
            <w:u w:val="single"/>
            <w14:ligatures w14:val="none"/>
          </w:rPr>
          <w:t>1</w:t>
        </w:r>
      </w:hyperlink>
      <w:r w:rsidRPr="003F6E7A">
        <w:rPr>
          <w:rFonts w:ascii="Times New Roman" w:eastAsia="宋体" w:hAnsi="Times New Roman" w:cs="Times New Roman"/>
          <w:kern w:val="0"/>
          <w:sz w:val="24"/>
          <w:szCs w:val="24"/>
          <w14:ligatures w14:val="none"/>
        </w:rPr>
        <w:t>,</w:t>
      </w:r>
      <w:hyperlink r:id="rId5" w:anchor="ref-CR2" w:tooltip="Lammerts van Bueren J, Jakobs D, Kaldenhoven N, Roza M, Hiddingh S, Meesters J, et al. Direct in vitro comparison of daratumumab with surrogate analogs of CD38 antibodies MOR03087, SAR650984 and Ab79. Blood. 2014;124:3474." w:history="1">
        <w:r w:rsidRPr="003F6E7A">
          <w:rPr>
            <w:rFonts w:ascii="Times New Roman" w:eastAsia="宋体" w:hAnsi="Times New Roman" w:cs="Times New Roman"/>
            <w:color w:val="006699"/>
            <w:kern w:val="0"/>
            <w:sz w:val="24"/>
            <w:szCs w:val="24"/>
            <w:u w:val="single"/>
            <w14:ligatures w14:val="none"/>
          </w:rPr>
          <w:t>2</w:t>
        </w:r>
      </w:hyperlink>
      <w:r w:rsidRPr="003F6E7A">
        <w:rPr>
          <w:rFonts w:ascii="Times New Roman" w:eastAsia="宋体" w:hAnsi="Times New Roman" w:cs="Times New Roman"/>
          <w:kern w:val="0"/>
          <w:sz w:val="24"/>
          <w:szCs w:val="24"/>
          <w14:ligatures w14:val="none"/>
        </w:rPr>
        <w:t>,</w:t>
      </w:r>
      <w:hyperlink r:id="rId6" w:anchor="ref-CR3" w:tooltip="Overdijk MB, Verploegen S, Bögels M, van Egmond M, Lammerts van Bueren JJ, et al. Antibody-mediated phagocytosis contributes to the anti-tumor activity of the therapeutic antibody daratumumab in lymphoma and multiple myeloma. MAbs. 2015;7:311–21." w:history="1">
        <w:r w:rsidRPr="003F6E7A">
          <w:rPr>
            <w:rFonts w:ascii="Times New Roman" w:eastAsia="宋体" w:hAnsi="Times New Roman" w:cs="Times New Roman"/>
            <w:color w:val="006699"/>
            <w:kern w:val="0"/>
            <w:sz w:val="24"/>
            <w:szCs w:val="24"/>
            <w:u w:val="single"/>
            <w14:ligatures w14:val="none"/>
          </w:rPr>
          <w:t>3</w:t>
        </w:r>
      </w:hyperlink>
      <w:r w:rsidRPr="003F6E7A">
        <w:rPr>
          <w:rFonts w:ascii="Times New Roman" w:eastAsia="宋体" w:hAnsi="Times New Roman" w:cs="Times New Roman"/>
          <w:kern w:val="0"/>
          <w:sz w:val="24"/>
          <w:szCs w:val="24"/>
          <w14:ligatures w14:val="none"/>
        </w:rPr>
        <w:t>,</w:t>
      </w:r>
      <w:hyperlink r:id="rId7" w:anchor="ref-CR4" w:tooltip="Overdijk MB, Jansen JHM, Nederend M, Lammerts van Bueren JJ, Groen RWJ, Parren PWHI, et al. The therapeutic CD38 monoclonal antibody daratumumab induces programmed cell death via Fcγ receptor–mediated cross-linking. J Immunol. 2016;197:807–13." w:history="1">
        <w:r w:rsidRPr="003F6E7A">
          <w:rPr>
            <w:rFonts w:ascii="Times New Roman" w:eastAsia="宋体" w:hAnsi="Times New Roman" w:cs="Times New Roman"/>
            <w:color w:val="006699"/>
            <w:kern w:val="0"/>
            <w:sz w:val="24"/>
            <w:szCs w:val="24"/>
            <w:u w:val="single"/>
            <w14:ligatures w14:val="none"/>
          </w:rPr>
          <w:t>4</w:t>
        </w:r>
      </w:hyperlink>
      <w:r w:rsidRPr="003F6E7A">
        <w:rPr>
          <w:rFonts w:ascii="Times New Roman" w:eastAsia="宋体" w:hAnsi="Times New Roman" w:cs="Times New Roman"/>
          <w:kern w:val="0"/>
          <w:sz w:val="24"/>
          <w:szCs w:val="24"/>
          <w14:ligatures w14:val="none"/>
        </w:rPr>
        <w:t>] and immunomodulatory [</w:t>
      </w:r>
      <w:hyperlink r:id="rId8" w:anchor="ref-CR5" w:tooltip="Krejcik J, Casneuf T, Nijhof IS, Verbist B, Bald J, Plesner T, et al. Daratumumab depletes CD38+ immune regulatory cells, promotes T-cell expansion, and skews T-cell repertoire in multiple myeloma. Blood. 2016;128:384–94." w:history="1">
        <w:r w:rsidRPr="003F6E7A">
          <w:rPr>
            <w:rFonts w:ascii="Times New Roman" w:eastAsia="宋体" w:hAnsi="Times New Roman" w:cs="Times New Roman"/>
            <w:color w:val="006699"/>
            <w:kern w:val="0"/>
            <w:sz w:val="24"/>
            <w:szCs w:val="24"/>
            <w:u w:val="single"/>
            <w14:ligatures w14:val="none"/>
          </w:rPr>
          <w:t>5</w:t>
        </w:r>
      </w:hyperlink>
      <w:r w:rsidRPr="003F6E7A">
        <w:rPr>
          <w:rFonts w:ascii="Times New Roman" w:eastAsia="宋体" w:hAnsi="Times New Roman" w:cs="Times New Roman"/>
          <w:kern w:val="0"/>
          <w:sz w:val="24"/>
          <w:szCs w:val="24"/>
          <w14:ligatures w14:val="none"/>
        </w:rPr>
        <w:t>,</w:t>
      </w:r>
      <w:hyperlink r:id="rId9" w:anchor="ref-CR6" w:tooltip="Adams HC III, Stevenaert F, Krejcik J, Van der Borght K, Smets T, Bald J, et al. High-parameter mass cytometry evaluation of relapsed/refractory multiple myeloma patients treated with daratumumab demonstrates immune modulation as a novel mechanism of action. Cytometry A. 2019;95:279–89." w:history="1">
        <w:r w:rsidRPr="003F6E7A">
          <w:rPr>
            <w:rFonts w:ascii="Times New Roman" w:eastAsia="宋体" w:hAnsi="Times New Roman" w:cs="Times New Roman"/>
            <w:color w:val="006699"/>
            <w:kern w:val="0"/>
            <w:sz w:val="24"/>
            <w:szCs w:val="24"/>
            <w:u w:val="single"/>
            <w14:ligatures w14:val="none"/>
          </w:rPr>
          <w:t>6</w:t>
        </w:r>
      </w:hyperlink>
      <w:r w:rsidRPr="003F6E7A">
        <w:rPr>
          <w:rFonts w:ascii="Times New Roman" w:eastAsia="宋体" w:hAnsi="Times New Roman" w:cs="Times New Roman"/>
          <w:kern w:val="0"/>
          <w:sz w:val="24"/>
          <w:szCs w:val="24"/>
          <w14:ligatures w14:val="none"/>
        </w:rPr>
        <w:t>,</w:t>
      </w:r>
      <w:hyperlink r:id="rId10" w:anchor="ref-CR7" w:tooltip="Casneuf T, Adams HC III, van de Donk NWCJ, Abraham Y, Bald J, Vanhoof G, et al. Deep immune profiling of patients treated with lenalidomide and dexamethasone with or without daratumumab. Leukemia. 2021;35:573–84." w:history="1">
        <w:r w:rsidRPr="003F6E7A">
          <w:rPr>
            <w:rFonts w:ascii="Times New Roman" w:eastAsia="宋体" w:hAnsi="Times New Roman" w:cs="Times New Roman"/>
            <w:color w:val="006699"/>
            <w:kern w:val="0"/>
            <w:sz w:val="24"/>
            <w:szCs w:val="24"/>
            <w:u w:val="single"/>
            <w14:ligatures w14:val="none"/>
          </w:rPr>
          <w:t>7</w:t>
        </w:r>
      </w:hyperlink>
      <w:r w:rsidRPr="003F6E7A">
        <w:rPr>
          <w:rFonts w:ascii="Times New Roman" w:eastAsia="宋体" w:hAnsi="Times New Roman" w:cs="Times New Roman"/>
          <w:kern w:val="0"/>
          <w:sz w:val="24"/>
          <w:szCs w:val="24"/>
          <w14:ligatures w14:val="none"/>
        </w:rPr>
        <w:t>] mechanism of action, demonstrating greater cytotoxicity toward multiple myeloma (MM) cells ex vivo compared with analogs of other CD38 antibodies [</w:t>
      </w:r>
      <w:hyperlink r:id="rId11" w:anchor="ref-CR8" w:tooltip="Kinder M, Bahlis NJ, Malavasi F, De Goeij B, Babich A, Sendecki J, et al. Comparison of CD38 antibodies in vitro and ex vivo mechanisms of action in multiple myeloma. Haematologica. 2021;106:2004–8." w:history="1">
        <w:r w:rsidRPr="003F6E7A">
          <w:rPr>
            <w:rFonts w:ascii="Times New Roman" w:eastAsia="宋体" w:hAnsi="Times New Roman" w:cs="Times New Roman"/>
            <w:color w:val="006699"/>
            <w:kern w:val="0"/>
            <w:sz w:val="24"/>
            <w:szCs w:val="24"/>
            <w:u w:val="single"/>
            <w14:ligatures w14:val="none"/>
          </w:rPr>
          <w:t>8</w:t>
        </w:r>
      </w:hyperlink>
      <w:r w:rsidRPr="003F6E7A">
        <w:rPr>
          <w:rFonts w:ascii="Times New Roman" w:eastAsia="宋体" w:hAnsi="Times New Roman" w:cs="Times New Roman"/>
          <w:kern w:val="0"/>
          <w:sz w:val="24"/>
          <w:szCs w:val="24"/>
          <w14:ligatures w14:val="none"/>
        </w:rPr>
        <w:t>]. Daratumumab is approved as a monotherapy and in combination with standard-of-care regimens for patients with relapsed or refractory MM and a part of combination therapy for patients with newly diagnosed MM (NDMM) [</w:t>
      </w:r>
      <w:hyperlink r:id="rId12" w:anchor="ref-CR9" w:tooltip="DARZALEX® (daratumumab) injection, for intravenous use [package insert]. Horsham, PA: Janssen Biotech, Inc.; 2023." w:history="1">
        <w:r w:rsidRPr="003F6E7A">
          <w:rPr>
            <w:rFonts w:ascii="Times New Roman" w:eastAsia="宋体" w:hAnsi="Times New Roman" w:cs="Times New Roman"/>
            <w:color w:val="006699"/>
            <w:kern w:val="0"/>
            <w:sz w:val="24"/>
            <w:szCs w:val="24"/>
            <w:u w:val="single"/>
            <w14:ligatures w14:val="none"/>
          </w:rPr>
          <w:t>9</w:t>
        </w:r>
      </w:hyperlink>
      <w:r w:rsidRPr="003F6E7A">
        <w:rPr>
          <w:rFonts w:ascii="Times New Roman" w:eastAsia="宋体" w:hAnsi="Times New Roman" w:cs="Times New Roman"/>
          <w:kern w:val="0"/>
          <w:sz w:val="24"/>
          <w:szCs w:val="24"/>
          <w14:ligatures w14:val="none"/>
        </w:rPr>
        <w:t>].</w:t>
      </w:r>
    </w:p>
    <w:p w14:paraId="087740E3"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Induction therapy with a triplet regimen consisting of a proteasome inhibitor, immunomodulatory drug, and dexamethasone is standard of care for transplant-eligible patients with NDMM [</w:t>
      </w:r>
      <w:hyperlink r:id="rId13" w:anchor="ref-CR10" w:tooltip="Dimopoulos MA, Moreau P, Terpos E, Mateos MV, Zweegman S, Cook G, et al. Multiple myeloma: EHA-ESMO clinical practice guidelines for diagnosis, treatment and follow-up. Hemasphere. 2021;5:e528." w:history="1">
        <w:r w:rsidRPr="003F6E7A">
          <w:rPr>
            <w:rFonts w:ascii="Times New Roman" w:eastAsia="宋体" w:hAnsi="Times New Roman" w:cs="Times New Roman"/>
            <w:color w:val="006699"/>
            <w:kern w:val="0"/>
            <w:sz w:val="24"/>
            <w:szCs w:val="24"/>
            <w:u w:val="single"/>
            <w14:ligatures w14:val="none"/>
          </w:rPr>
          <w:t>10</w:t>
        </w:r>
      </w:hyperlink>
      <w:r w:rsidRPr="003F6E7A">
        <w:rPr>
          <w:rFonts w:ascii="Times New Roman" w:eastAsia="宋体" w:hAnsi="Times New Roman" w:cs="Times New Roman"/>
          <w:kern w:val="0"/>
          <w:sz w:val="24"/>
          <w:szCs w:val="24"/>
          <w14:ligatures w14:val="none"/>
        </w:rPr>
        <w:t>]. Recent studies have examined the addition of daratumumab to these triplet regimens. The single-arm, phase 2 MASTER study (ClinicalTrials.gov Identifier: NCT03224507) evaluated daratumumab plus carfilzomib, lenalidomide, and dexamethasone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and demonstrated promising clinical efficacy in transplant-eligible patients with NDMM [</w:t>
      </w:r>
      <w:hyperlink r:id="rId14" w:anchor="ref-CR11" w:tooltip="Costa LJ, Chhabra S, Medvedova E, Dholaria BR, Schmidt TM, Godby KN, et al. Daratumumab, carfilzomib, lenalidomide, and dexamethasone with minimal residual disease response-adapted therapy in newly diagnosed multiple myeloma. J Clin Oncol. 2022;40:2901–12." w:history="1">
        <w:r w:rsidRPr="003F6E7A">
          <w:rPr>
            <w:rFonts w:ascii="Times New Roman" w:eastAsia="宋体" w:hAnsi="Times New Roman" w:cs="Times New Roman"/>
            <w:color w:val="006699"/>
            <w:kern w:val="0"/>
            <w:sz w:val="24"/>
            <w:szCs w:val="24"/>
            <w:u w:val="single"/>
            <w14:ligatures w14:val="none"/>
          </w:rPr>
          <w:t>11</w:t>
        </w:r>
      </w:hyperlink>
      <w:r w:rsidRPr="003F6E7A">
        <w:rPr>
          <w:rFonts w:ascii="Times New Roman" w:eastAsia="宋体" w:hAnsi="Times New Roman" w:cs="Times New Roman"/>
          <w:kern w:val="0"/>
          <w:sz w:val="24"/>
          <w:szCs w:val="24"/>
          <w14:ligatures w14:val="none"/>
        </w:rPr>
        <w:t>]. The primary analysis (median follow-up, 25.1 months) showed that minimal residual disease (MRD) negativity at the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threshold was achieved by 80% of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as determined at the end of MRD-directed treatment [</w:t>
      </w:r>
      <w:hyperlink r:id="rId15" w:anchor="ref-CR11" w:tooltip="Costa LJ, Chhabra S, Medvedova E, Dholaria BR, Schmidt TM, Godby KN, et al. Daratumumab, carfilzomib, lenalidomide, and dexamethasone with minimal residual disease response-adapted therapy in newly diagnosed multiple myeloma. J Clin Oncol. 2022;40:2901–12." w:history="1">
        <w:r w:rsidRPr="003F6E7A">
          <w:rPr>
            <w:rFonts w:ascii="Times New Roman" w:eastAsia="宋体" w:hAnsi="Times New Roman" w:cs="Times New Roman"/>
            <w:color w:val="006699"/>
            <w:kern w:val="0"/>
            <w:sz w:val="24"/>
            <w:szCs w:val="24"/>
            <w:u w:val="single"/>
            <w14:ligatures w14:val="none"/>
          </w:rPr>
          <w:t>11</w:t>
        </w:r>
      </w:hyperlink>
      <w:r w:rsidRPr="003F6E7A">
        <w:rPr>
          <w:rFonts w:ascii="Times New Roman" w:eastAsia="宋体" w:hAnsi="Times New Roman" w:cs="Times New Roman"/>
          <w:kern w:val="0"/>
          <w:sz w:val="24"/>
          <w:szCs w:val="24"/>
          <w14:ligatures w14:val="none"/>
        </w:rPr>
        <w:t>]. The final analysis of MASTER was recently reported, and data continued to demonstrate a benefit of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in this setting in the overall population and suggested a possible pathway for treatment cessation among responding patients exhibiting sustained MRD negativity [</w:t>
      </w:r>
      <w:hyperlink r:id="rId16" w:anchor="ref-CR12" w:tooltip="Costa LJ, Chhabra S, Medvedova E, Dholaria BR, Schmidt TM, Godby KN, et al. Minimal residual disease response-adapted therapy in newly diagnosed multiple myeloma (MASTER): final report of the multicentre, single-arm, phase 2 trial. Lancet Haematol. 2023;10:e890–e901." w:history="1">
        <w:r w:rsidRPr="003F6E7A">
          <w:rPr>
            <w:rFonts w:ascii="Times New Roman" w:eastAsia="宋体" w:hAnsi="Times New Roman" w:cs="Times New Roman"/>
            <w:color w:val="006699"/>
            <w:kern w:val="0"/>
            <w:sz w:val="24"/>
            <w:szCs w:val="24"/>
            <w:u w:val="single"/>
            <w14:ligatures w14:val="none"/>
          </w:rPr>
          <w:t>12</w:t>
        </w:r>
      </w:hyperlink>
      <w:r w:rsidRPr="003F6E7A">
        <w:rPr>
          <w:rFonts w:ascii="Times New Roman" w:eastAsia="宋体" w:hAnsi="Times New Roman" w:cs="Times New Roman"/>
          <w:kern w:val="0"/>
          <w:sz w:val="24"/>
          <w:szCs w:val="24"/>
          <w14:ligatures w14:val="none"/>
        </w:rPr>
        <w:t>]. The randomized, phase 2 GRIFFIN study (ClinicalTrials.gov Identifier: NCT02874742) evaluated daratumumab plus lenalidomide, bortezomib, and dexamethasone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or lenalidomide, bortezomib, and dexamethasone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alone in transplant-eligible patients with NDMM [</w:t>
      </w:r>
      <w:hyperlink r:id="rId17" w:anchor="ref-CR13" w:tooltip="Voorhees PM, Kaufman JL, Laubach J, Sborov DW, Reeves B, Rodriguez C, et al. Daratumumab, lenalidomide, bortezomib, and dexamethasone for transplant-eligible newly diagnosed multiple myeloma: the GRIFFIN trial. Blood. 2020;136:936–45." w:history="1">
        <w:r w:rsidRPr="003F6E7A">
          <w:rPr>
            <w:rFonts w:ascii="Times New Roman" w:eastAsia="宋体" w:hAnsi="Times New Roman" w:cs="Times New Roman"/>
            <w:color w:val="006699"/>
            <w:kern w:val="0"/>
            <w:sz w:val="24"/>
            <w:szCs w:val="24"/>
            <w:u w:val="single"/>
            <w14:ligatures w14:val="none"/>
          </w:rPr>
          <w:t>13</w:t>
        </w:r>
      </w:hyperlink>
      <w:r w:rsidRPr="003F6E7A">
        <w:rPr>
          <w:rFonts w:ascii="Times New Roman" w:eastAsia="宋体" w:hAnsi="Times New Roman" w:cs="Times New Roman"/>
          <w:kern w:val="0"/>
          <w:sz w:val="24"/>
          <w:szCs w:val="24"/>
          <w14:ligatures w14:val="none"/>
        </w:rPr>
        <w:t>]. The primary analysis (median follow-up, 13.5 months) showed that the rate of stringent complete response (CR) by the end of post-autologous stem cell transplant (ASCT) consolidation was significantly higher for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versus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(42.4% vs 32.0%; 1-sided </w:t>
      </w:r>
      <w:r w:rsidRPr="003F6E7A">
        <w:rPr>
          <w:rFonts w:ascii="Times New Roman" w:eastAsia="宋体" w:hAnsi="Times New Roman" w:cs="Times New Roman"/>
          <w:i/>
          <w:iCs/>
          <w:kern w:val="0"/>
          <w:sz w:val="24"/>
          <w:szCs w:val="24"/>
          <w14:ligatures w14:val="none"/>
        </w:rPr>
        <w:t>p</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0.068, which met the pre-specified 1-sided α of 0.10) [</w:t>
      </w:r>
      <w:hyperlink r:id="rId18" w:anchor="ref-CR13" w:tooltip="Voorhees PM, Kaufman JL, Laubach J, Sborov DW, Reeves B, Rodriguez C, et al. Daratumumab, lenalidomide, bortezomib, and dexamethasone for transplant-eligible newly diagnosed multiple myeloma: the GRIFFIN trial. Blood. 2020;136:936–45." w:history="1">
        <w:r w:rsidRPr="003F6E7A">
          <w:rPr>
            <w:rFonts w:ascii="Times New Roman" w:eastAsia="宋体" w:hAnsi="Times New Roman" w:cs="Times New Roman"/>
            <w:color w:val="006699"/>
            <w:kern w:val="0"/>
            <w:sz w:val="24"/>
            <w:szCs w:val="24"/>
            <w:u w:val="single"/>
            <w14:ligatures w14:val="none"/>
          </w:rPr>
          <w:t>13</w:t>
        </w:r>
      </w:hyperlink>
      <w:r w:rsidRPr="003F6E7A">
        <w:rPr>
          <w:rFonts w:ascii="Times New Roman" w:eastAsia="宋体" w:hAnsi="Times New Roman" w:cs="Times New Roman"/>
          <w:kern w:val="0"/>
          <w:sz w:val="24"/>
          <w:szCs w:val="24"/>
          <w14:ligatures w14:val="none"/>
        </w:rPr>
        <w:t>]. At the time of GRIFFIN final analysis, which occurred after all patients completed ≥1 year of long-term follow-up after the end of study treatment, death, or withdrawal (median follow-up, 49.6 months), responses continued to deepen over time for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versus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and there was an improvement in progression-free survival (PFS) for the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group versus the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group (hazard ratio, 0.45; 95% confidence interval, 0.21–0.95; </w:t>
      </w:r>
      <w:r w:rsidRPr="003F6E7A">
        <w:rPr>
          <w:rFonts w:ascii="Times New Roman" w:eastAsia="宋体" w:hAnsi="Times New Roman" w:cs="Times New Roman"/>
          <w:i/>
          <w:iCs/>
          <w:kern w:val="0"/>
          <w:sz w:val="24"/>
          <w:szCs w:val="24"/>
          <w14:ligatures w14:val="none"/>
        </w:rPr>
        <w:t>p</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0.032) [</w:t>
      </w:r>
      <w:hyperlink r:id="rId19" w:anchor="ref-CR14" w:tooltip="Voorhees PM, Sborov DW, Laubach J, Kaufman JL, Reeves B, Rodriguez C, et al. Addition of daratumumab to lenalidomide, bortezomib, and dexamethasone for transplantation-eligible patients with newly diagnosed multiple myeloma (GRIFFIN): final analysis of an open-label, randomised, phase 2 trial. Lancet Haematol. 2023;10:e825–e37." w:history="1">
        <w:r w:rsidRPr="003F6E7A">
          <w:rPr>
            <w:rFonts w:ascii="Times New Roman" w:eastAsia="宋体" w:hAnsi="Times New Roman" w:cs="Times New Roman"/>
            <w:color w:val="006699"/>
            <w:kern w:val="0"/>
            <w:sz w:val="24"/>
            <w:szCs w:val="24"/>
            <w:u w:val="single"/>
            <w14:ligatures w14:val="none"/>
          </w:rPr>
          <w:t>14</w:t>
        </w:r>
      </w:hyperlink>
      <w:r w:rsidRPr="003F6E7A">
        <w:rPr>
          <w:rFonts w:ascii="Times New Roman" w:eastAsia="宋体" w:hAnsi="Times New Roman" w:cs="Times New Roman"/>
          <w:kern w:val="0"/>
          <w:sz w:val="24"/>
          <w:szCs w:val="24"/>
          <w14:ligatures w14:val="none"/>
        </w:rPr>
        <w:t>]. The safety profiles of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and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were previously reported [</w:t>
      </w:r>
      <w:hyperlink r:id="rId20" w:anchor="ref-CR11" w:tooltip="Costa LJ, Chhabra S, Medvedova E, Dholaria BR, Schmidt TM, Godby KN, et al. Daratumumab, carfilzomib, lenalidomide, and dexamethasone with minimal residual disease response-adapted therapy in newly diagnosed multiple myeloma. J Clin Oncol. 2022;40:2901–12." w:history="1">
        <w:r w:rsidRPr="003F6E7A">
          <w:rPr>
            <w:rFonts w:ascii="Times New Roman" w:eastAsia="宋体" w:hAnsi="Times New Roman" w:cs="Times New Roman"/>
            <w:color w:val="006699"/>
            <w:kern w:val="0"/>
            <w:sz w:val="24"/>
            <w:szCs w:val="24"/>
            <w:u w:val="single"/>
            <w14:ligatures w14:val="none"/>
          </w:rPr>
          <w:t>11</w:t>
        </w:r>
      </w:hyperlink>
      <w:r w:rsidRPr="003F6E7A">
        <w:rPr>
          <w:rFonts w:ascii="Times New Roman" w:eastAsia="宋体" w:hAnsi="Times New Roman" w:cs="Times New Roman"/>
          <w:kern w:val="0"/>
          <w:sz w:val="24"/>
          <w:szCs w:val="24"/>
          <w14:ligatures w14:val="none"/>
        </w:rPr>
        <w:t>, </w:t>
      </w:r>
      <w:hyperlink r:id="rId21" w:anchor="ref-CR13" w:tooltip="Voorhees PM, Kaufman JL, Laubach J, Sborov DW, Reeves B, Rodriguez C, et al. Daratumumab, lenalidomide, bortezomib, and dexamethasone for transplant-eligible newly diagnosed multiple myeloma: the GRIFFIN trial. Blood. 2020;136:936–45." w:history="1">
        <w:r w:rsidRPr="003F6E7A">
          <w:rPr>
            <w:rFonts w:ascii="Times New Roman" w:eastAsia="宋体" w:hAnsi="Times New Roman" w:cs="Times New Roman"/>
            <w:color w:val="006699"/>
            <w:kern w:val="0"/>
            <w:sz w:val="24"/>
            <w:szCs w:val="24"/>
            <w:u w:val="single"/>
            <w14:ligatures w14:val="none"/>
          </w:rPr>
          <w:t>13</w:t>
        </w:r>
      </w:hyperlink>
      <w:r w:rsidRPr="003F6E7A">
        <w:rPr>
          <w:rFonts w:ascii="Times New Roman" w:eastAsia="宋体" w:hAnsi="Times New Roman" w:cs="Times New Roman"/>
          <w:kern w:val="0"/>
          <w:sz w:val="24"/>
          <w:szCs w:val="24"/>
          <w14:ligatures w14:val="none"/>
        </w:rPr>
        <w:t>]. No unexpected safety concerns occurred for these daratumumab-based quadruplet therapies, and adverse events in each regimen were consistent with previous reports of the individual regimen components.</w:t>
      </w:r>
    </w:p>
    <w:p w14:paraId="620108A6"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Patients with MM may have high-risk disease characteristics, such as the presence of extramedullary disease, International Staging System stage III disease, advanced age, and/or the presence of high-risk cytogenetic abnormalities (HRCAs) [</w:t>
      </w:r>
      <w:hyperlink r:id="rId22" w:anchor="ref-CR15" w:tooltip="Mateos MV, Martínez BP, González-Calle V. High-risk multiple myeloma: how to treat at diagnosis and relapse? Hematology Am Soc Hematol Educ Program. 2021;2021:30–36." w:history="1">
        <w:r w:rsidRPr="003F6E7A">
          <w:rPr>
            <w:rFonts w:ascii="Times New Roman" w:eastAsia="宋体" w:hAnsi="Times New Roman" w:cs="Times New Roman"/>
            <w:color w:val="006699"/>
            <w:kern w:val="0"/>
            <w:sz w:val="24"/>
            <w:szCs w:val="24"/>
            <w:u w:val="single"/>
            <w14:ligatures w14:val="none"/>
          </w:rPr>
          <w:t>15</w:t>
        </w:r>
      </w:hyperlink>
      <w:r w:rsidRPr="003F6E7A">
        <w:rPr>
          <w:rFonts w:ascii="Times New Roman" w:eastAsia="宋体" w:hAnsi="Times New Roman" w:cs="Times New Roman"/>
          <w:kern w:val="0"/>
          <w:sz w:val="24"/>
          <w:szCs w:val="24"/>
          <w14:ligatures w14:val="none"/>
        </w:rPr>
        <w:t>,</w:t>
      </w:r>
      <w:hyperlink r:id="rId23" w:anchor="ref-CR16" w:tooltip="Costa LJ, Usmani SZ. Defining and managing high-risk multiple myeloma: current concepts. J Natl Compr Canc Netw. 2020;18:1730–7." w:history="1">
        <w:r w:rsidRPr="003F6E7A">
          <w:rPr>
            <w:rFonts w:ascii="Times New Roman" w:eastAsia="宋体" w:hAnsi="Times New Roman" w:cs="Times New Roman"/>
            <w:color w:val="006699"/>
            <w:kern w:val="0"/>
            <w:sz w:val="24"/>
            <w:szCs w:val="24"/>
            <w:u w:val="single"/>
            <w14:ligatures w14:val="none"/>
          </w:rPr>
          <w:t>16</w:t>
        </w:r>
      </w:hyperlink>
      <w:r w:rsidRPr="003F6E7A">
        <w:rPr>
          <w:rFonts w:ascii="Times New Roman" w:eastAsia="宋体" w:hAnsi="Times New Roman" w:cs="Times New Roman"/>
          <w:kern w:val="0"/>
          <w:sz w:val="24"/>
          <w:szCs w:val="24"/>
          <w14:ligatures w14:val="none"/>
        </w:rPr>
        <w:t>,</w:t>
      </w:r>
      <w:hyperlink r:id="rId24" w:anchor="ref-CR17" w:tooltip="Chng WJ, Dispenzieri A, Chim CS, Fonseca R, Goldschmidt H, Lentzsch S, et al. IMWG consensus on risk stratification in multiple myeloma. Leukemia. 2014;28:269–77." w:history="1">
        <w:r w:rsidRPr="003F6E7A">
          <w:rPr>
            <w:rFonts w:ascii="Times New Roman" w:eastAsia="宋体" w:hAnsi="Times New Roman" w:cs="Times New Roman"/>
            <w:color w:val="006699"/>
            <w:kern w:val="0"/>
            <w:sz w:val="24"/>
            <w:szCs w:val="24"/>
            <w:u w:val="single"/>
            <w14:ligatures w14:val="none"/>
          </w:rPr>
          <w:t>17</w:t>
        </w:r>
      </w:hyperlink>
      <w:r w:rsidRPr="003F6E7A">
        <w:rPr>
          <w:rFonts w:ascii="Times New Roman" w:eastAsia="宋体" w:hAnsi="Times New Roman" w:cs="Times New Roman"/>
          <w:kern w:val="0"/>
          <w:sz w:val="24"/>
          <w:szCs w:val="24"/>
          <w14:ligatures w14:val="none"/>
        </w:rPr>
        <w:t xml:space="preserve">]. </w:t>
      </w:r>
      <w:r w:rsidRPr="003F6E7A">
        <w:rPr>
          <w:rFonts w:ascii="Times New Roman" w:eastAsia="宋体" w:hAnsi="Times New Roman" w:cs="Times New Roman"/>
          <w:kern w:val="0"/>
          <w:sz w:val="24"/>
          <w:szCs w:val="24"/>
          <w14:ligatures w14:val="none"/>
        </w:rPr>
        <w:lastRenderedPageBreak/>
        <w:t>These high-risk disease characteristics are associated with a poor overall prognosis and shorter survival, and patients with high-risk features constitute a population with high unmet medical need [</w:t>
      </w:r>
      <w:hyperlink r:id="rId25" w:anchor="ref-CR15" w:tooltip="Mateos MV, Martínez BP, González-Calle V. High-risk multiple myeloma: how to treat at diagnosis and relapse? Hematology Am Soc Hematol Educ Program. 2021;2021:30–36." w:history="1">
        <w:r w:rsidRPr="003F6E7A">
          <w:rPr>
            <w:rFonts w:ascii="Times New Roman" w:eastAsia="宋体" w:hAnsi="Times New Roman" w:cs="Times New Roman"/>
            <w:color w:val="006699"/>
            <w:kern w:val="0"/>
            <w:sz w:val="24"/>
            <w:szCs w:val="24"/>
            <w:u w:val="single"/>
            <w14:ligatures w14:val="none"/>
          </w:rPr>
          <w:t>15</w:t>
        </w:r>
      </w:hyperlink>
      <w:r w:rsidRPr="003F6E7A">
        <w:rPr>
          <w:rFonts w:ascii="Times New Roman" w:eastAsia="宋体" w:hAnsi="Times New Roman" w:cs="Times New Roman"/>
          <w:kern w:val="0"/>
          <w:sz w:val="24"/>
          <w:szCs w:val="24"/>
          <w14:ligatures w14:val="none"/>
        </w:rPr>
        <w:t>, </w:t>
      </w:r>
      <w:hyperlink r:id="rId26" w:anchor="ref-CR18" w:tooltip="Sonneveld P, Avet-Loiseau H, Lonial S, Usmani S, Siegel D, Anderson KC, et al. Treatment of multiple myeloma with high-risk cytogenetics: a consensus of the International Myeloma Working Group. Blood. 2016;127:2955–62." w:history="1">
        <w:r w:rsidRPr="003F6E7A">
          <w:rPr>
            <w:rFonts w:ascii="Times New Roman" w:eastAsia="宋体" w:hAnsi="Times New Roman" w:cs="Times New Roman"/>
            <w:color w:val="006699"/>
            <w:kern w:val="0"/>
            <w:sz w:val="24"/>
            <w:szCs w:val="24"/>
            <w:u w:val="single"/>
            <w14:ligatures w14:val="none"/>
          </w:rPr>
          <w:t>18</w:t>
        </w:r>
      </w:hyperlink>
      <w:r w:rsidRPr="003F6E7A">
        <w:rPr>
          <w:rFonts w:ascii="Times New Roman" w:eastAsia="宋体" w:hAnsi="Times New Roman" w:cs="Times New Roman"/>
          <w:kern w:val="0"/>
          <w:sz w:val="24"/>
          <w:szCs w:val="24"/>
          <w14:ligatures w14:val="none"/>
        </w:rPr>
        <w:t>, </w:t>
      </w:r>
      <w:hyperlink r:id="rId27" w:anchor="ref-CR19" w:tooltip="Walker BA, Mavrommatis K, Wardell CP, Ashby TC, Bauer M, Davies F, et al. A high-risk, Double-Hit, group of newly diagnosed myeloma identified by genomic analysis. Leukemia. 2019;33:159–70." w:history="1">
        <w:r w:rsidRPr="003F6E7A">
          <w:rPr>
            <w:rFonts w:ascii="Times New Roman" w:eastAsia="宋体" w:hAnsi="Times New Roman" w:cs="Times New Roman"/>
            <w:color w:val="006699"/>
            <w:kern w:val="0"/>
            <w:sz w:val="24"/>
            <w:szCs w:val="24"/>
            <w:u w:val="single"/>
            <w14:ligatures w14:val="none"/>
          </w:rPr>
          <w:t>19</w:t>
        </w:r>
      </w:hyperlink>
      <w:r w:rsidRPr="003F6E7A">
        <w:rPr>
          <w:rFonts w:ascii="Times New Roman" w:eastAsia="宋体" w:hAnsi="Times New Roman" w:cs="Times New Roman"/>
          <w:kern w:val="0"/>
          <w:sz w:val="24"/>
          <w:szCs w:val="24"/>
          <w14:ligatures w14:val="none"/>
        </w:rPr>
        <w:t>]. The consensus from the International Myeloma Working Group (IMWG) advises that cytogenetic risk should be evaluated using bone marrow aspirate–based fluorescence in situ hybridization panels for t(4;14), del(17p), and t(14;16), with an extended panel for clinical trials that includes t(11;14), t(14;20), gain(1q), del(1p), del(13q), and ploidy status [</w:t>
      </w:r>
      <w:hyperlink r:id="rId28" w:anchor="ref-CR18" w:tooltip="Sonneveld P, Avet-Loiseau H, Lonial S, Usmani S, Siegel D, Anderson KC, et al. Treatment of multiple myeloma with high-risk cytogenetics: a consensus of the International Myeloma Working Group. Blood. 2016;127:2955–62." w:history="1">
        <w:r w:rsidRPr="003F6E7A">
          <w:rPr>
            <w:rFonts w:ascii="Times New Roman" w:eastAsia="宋体" w:hAnsi="Times New Roman" w:cs="Times New Roman"/>
            <w:color w:val="006699"/>
            <w:kern w:val="0"/>
            <w:sz w:val="24"/>
            <w:szCs w:val="24"/>
            <w:u w:val="single"/>
            <w14:ligatures w14:val="none"/>
          </w:rPr>
          <w:t>18</w:t>
        </w:r>
      </w:hyperlink>
      <w:r w:rsidRPr="003F6E7A">
        <w:rPr>
          <w:rFonts w:ascii="Times New Roman" w:eastAsia="宋体" w:hAnsi="Times New Roman" w:cs="Times New Roman"/>
          <w:kern w:val="0"/>
          <w:sz w:val="24"/>
          <w:szCs w:val="24"/>
          <w14:ligatures w14:val="none"/>
        </w:rPr>
        <w:t xml:space="preserve">]. While risk stratification is important for understanding overall prognosis, much remains to be learned about how HRCAs impact clinical outcomes and influence optimal therapy selection and treatment sequencing. The objective of this study is to better understand clinical outcomes for daratumumab-based treatment among patients with NDMM by HRCA risk stratifications, according to a revised definition inclusive of the cytogenetic abnormalities del(17p), </w:t>
      </w:r>
      <w:proofErr w:type="gramStart"/>
      <w:r w:rsidRPr="003F6E7A">
        <w:rPr>
          <w:rFonts w:ascii="Times New Roman" w:eastAsia="宋体" w:hAnsi="Times New Roman" w:cs="Times New Roman"/>
          <w:kern w:val="0"/>
          <w:sz w:val="24"/>
          <w:szCs w:val="24"/>
          <w14:ligatures w14:val="none"/>
        </w:rPr>
        <w:t>t(</w:t>
      </w:r>
      <w:proofErr w:type="gramEnd"/>
      <w:r w:rsidRPr="003F6E7A">
        <w:rPr>
          <w:rFonts w:ascii="Times New Roman" w:eastAsia="宋体" w:hAnsi="Times New Roman" w:cs="Times New Roman"/>
          <w:kern w:val="0"/>
          <w:sz w:val="24"/>
          <w:szCs w:val="24"/>
          <w14:ligatures w14:val="none"/>
        </w:rPr>
        <w:t>4;14), t(14;16), t(14;20), and/or gain/amp(1q21) (≥3 copies of chromosome 1q21). Here, we present a post hoc analysis of side-by-side results including patients from MASTER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and GRIFFIN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with 0, 1, or ≥2 HRCAs, noting the goal is not to compare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and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but rather to evaluate the overall value of frontline daratumumab-based therapy.</w:t>
      </w:r>
    </w:p>
    <w:p w14:paraId="5CB5AD62" w14:textId="77777777" w:rsidR="003F6E7A" w:rsidRPr="003F6E7A" w:rsidRDefault="003F6E7A" w:rsidP="003F6E7A">
      <w:pPr>
        <w:widowControl/>
        <w:pBdr>
          <w:bottom w:val="single" w:sz="12" w:space="6" w:color="D5D5D5"/>
        </w:pBdr>
        <w:jc w:val="left"/>
        <w:outlineLvl w:val="1"/>
        <w:rPr>
          <w:rFonts w:ascii="Times New Roman" w:eastAsia="宋体" w:hAnsi="Times New Roman" w:cs="Times New Roman"/>
          <w:b/>
          <w:bCs/>
          <w:kern w:val="0"/>
          <w:sz w:val="36"/>
          <w:szCs w:val="36"/>
          <w14:ligatures w14:val="none"/>
        </w:rPr>
      </w:pPr>
      <w:r w:rsidRPr="003F6E7A">
        <w:rPr>
          <w:rFonts w:ascii="Times New Roman" w:eastAsia="宋体" w:hAnsi="Times New Roman" w:cs="Times New Roman"/>
          <w:b/>
          <w:bCs/>
          <w:kern w:val="0"/>
          <w:sz w:val="36"/>
          <w:szCs w:val="36"/>
          <w14:ligatures w14:val="none"/>
        </w:rPr>
        <w:t>Methods</w:t>
      </w:r>
    </w:p>
    <w:p w14:paraId="40C963B7" w14:textId="77777777" w:rsidR="003F6E7A" w:rsidRPr="003F6E7A" w:rsidRDefault="003F6E7A" w:rsidP="003F6E7A">
      <w:pPr>
        <w:widowControl/>
        <w:spacing w:after="120"/>
        <w:jc w:val="left"/>
        <w:outlineLvl w:val="2"/>
        <w:rPr>
          <w:rFonts w:ascii="Times New Roman" w:eastAsia="宋体" w:hAnsi="Times New Roman" w:cs="Times New Roman"/>
          <w:color w:val="222222"/>
          <w:kern w:val="0"/>
          <w:sz w:val="27"/>
          <w:szCs w:val="27"/>
          <w14:ligatures w14:val="none"/>
        </w:rPr>
      </w:pPr>
      <w:r w:rsidRPr="003F6E7A">
        <w:rPr>
          <w:rFonts w:ascii="Times New Roman" w:eastAsia="宋体" w:hAnsi="Times New Roman" w:cs="Times New Roman"/>
          <w:color w:val="222222"/>
          <w:kern w:val="0"/>
          <w:sz w:val="27"/>
          <w:szCs w:val="27"/>
          <w14:ligatures w14:val="none"/>
        </w:rPr>
        <w:t>Patients and study design</w:t>
      </w:r>
    </w:p>
    <w:p w14:paraId="09033887"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The full details of the MASTER (ClinicalTrials.gov Identifier: NCT03224507) [</w:t>
      </w:r>
      <w:hyperlink r:id="rId29" w:anchor="ref-CR11" w:tooltip="Costa LJ, Chhabra S, Medvedova E, Dholaria BR, Schmidt TM, Godby KN, et al. Daratumumab, carfilzomib, lenalidomide, and dexamethasone with minimal residual disease response-adapted therapy in newly diagnosed multiple myeloma. J Clin Oncol. 2022;40:2901–12." w:history="1">
        <w:r w:rsidRPr="003F6E7A">
          <w:rPr>
            <w:rFonts w:ascii="Times New Roman" w:eastAsia="宋体" w:hAnsi="Times New Roman" w:cs="Times New Roman"/>
            <w:color w:val="006699"/>
            <w:kern w:val="0"/>
            <w:sz w:val="24"/>
            <w:szCs w:val="24"/>
            <w:u w:val="single"/>
            <w14:ligatures w14:val="none"/>
          </w:rPr>
          <w:t>11</w:t>
        </w:r>
      </w:hyperlink>
      <w:r w:rsidRPr="003F6E7A">
        <w:rPr>
          <w:rFonts w:ascii="Times New Roman" w:eastAsia="宋体" w:hAnsi="Times New Roman" w:cs="Times New Roman"/>
          <w:kern w:val="0"/>
          <w:sz w:val="24"/>
          <w:szCs w:val="24"/>
          <w14:ligatures w14:val="none"/>
        </w:rPr>
        <w:t>] and GRIFFIN (ClinicalTrials.gov Identifier: NCT02874742) [</w:t>
      </w:r>
      <w:hyperlink r:id="rId30" w:anchor="ref-CR13" w:tooltip="Voorhees PM, Kaufman JL, Laubach J, Sborov DW, Reeves B, Rodriguez C, et al. Daratumumab, lenalidomide, bortezomib, and dexamethasone for transplant-eligible newly diagnosed multiple myeloma: the GRIFFIN trial. Blood. 2020;136:936–45." w:history="1">
        <w:r w:rsidRPr="003F6E7A">
          <w:rPr>
            <w:rFonts w:ascii="Times New Roman" w:eastAsia="宋体" w:hAnsi="Times New Roman" w:cs="Times New Roman"/>
            <w:color w:val="006699"/>
            <w:kern w:val="0"/>
            <w:sz w:val="24"/>
            <w:szCs w:val="24"/>
            <w:u w:val="single"/>
            <w14:ligatures w14:val="none"/>
          </w:rPr>
          <w:t>13</w:t>
        </w:r>
      </w:hyperlink>
      <w:r w:rsidRPr="003F6E7A">
        <w:rPr>
          <w:rFonts w:ascii="Times New Roman" w:eastAsia="宋体" w:hAnsi="Times New Roman" w:cs="Times New Roman"/>
          <w:kern w:val="0"/>
          <w:sz w:val="24"/>
          <w:szCs w:val="24"/>
          <w14:ligatures w14:val="none"/>
        </w:rPr>
        <w:t>] studies have been previously reported. Briefly, in the multicenter, single-arm, phase 2 MASTER study,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was evaluated in transplant-eligible patients with NDMM. Patients had no upper age limit and an Eastern Cooperative Oncology Group performance status score of ≤2. Patients received up to 4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induction cycles; high-dose therapy and ASCT; and up to 2 phases of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consolidation therapy (Cycles 5–8 and 9–12). MRD assessments in MASTER occurred post-induction, post-ASCT, and after each consolidation phase, and patients achieving 2 consecutive MRD negative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xml:space="preserve">) assessments transitioned to treatment-free observation. Patients who completed consolidation without 2 consecutive MRD-negative assessments transitioned to lenalidomide maintenance. The study design included enrichment for patients with MM harboring HRCAs to meet the criteria that ≥35% of participants would have </w:t>
      </w:r>
      <w:proofErr w:type="gramStart"/>
      <w:r w:rsidRPr="003F6E7A">
        <w:rPr>
          <w:rFonts w:ascii="Times New Roman" w:eastAsia="宋体" w:hAnsi="Times New Roman" w:cs="Times New Roman"/>
          <w:kern w:val="0"/>
          <w:sz w:val="24"/>
          <w:szCs w:val="24"/>
          <w14:ligatures w14:val="none"/>
        </w:rPr>
        <w:t>t(</w:t>
      </w:r>
      <w:proofErr w:type="gramEnd"/>
      <w:r w:rsidRPr="003F6E7A">
        <w:rPr>
          <w:rFonts w:ascii="Times New Roman" w:eastAsia="宋体" w:hAnsi="Times New Roman" w:cs="Times New Roman"/>
          <w:kern w:val="0"/>
          <w:sz w:val="24"/>
          <w:szCs w:val="24"/>
          <w14:ligatures w14:val="none"/>
        </w:rPr>
        <w:t>4;14), t(14;16), and/or del(17p). In both studies, cytogenetic risk was assessed at baseline by fluorescence in situ hybridization via local testing.</w:t>
      </w:r>
    </w:p>
    <w:p w14:paraId="5B9C4CBD"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In the multicenter, randomized, open-label, phase 2 GRIFFIN study,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was evaluated versus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alone in transplant-eligible patients with NDMM. Patients were 18–70 years of age and had an Eastern Cooperative Oncology Group performance status score of ≤2. Prior to the randomized phase of GRIFFIN, a safety run-in was conducted in 16 patients to assess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dose-limiting toxicities [</w:t>
      </w:r>
      <w:hyperlink r:id="rId31" w:anchor="ref-CR20" w:tooltip="Voorhees PM, Rodriguez C, Reeves B, Nathwani N, Costa LJ, Lutska Y, et al. Daratumumab plus RVd for newly diagnosed multiple myeloma: final analysis of the safety run-in cohort of GRIFFIN. Blood Adv. 2021;5:1092–6." w:history="1">
        <w:r w:rsidRPr="003F6E7A">
          <w:rPr>
            <w:rFonts w:ascii="Times New Roman" w:eastAsia="宋体" w:hAnsi="Times New Roman" w:cs="Times New Roman"/>
            <w:color w:val="006699"/>
            <w:kern w:val="0"/>
            <w:sz w:val="24"/>
            <w:szCs w:val="24"/>
            <w:u w:val="single"/>
            <w14:ligatures w14:val="none"/>
          </w:rPr>
          <w:t>20</w:t>
        </w:r>
      </w:hyperlink>
      <w:r w:rsidRPr="003F6E7A">
        <w:rPr>
          <w:rFonts w:ascii="Times New Roman" w:eastAsia="宋体" w:hAnsi="Times New Roman" w:cs="Times New Roman"/>
          <w:kern w:val="0"/>
          <w:sz w:val="24"/>
          <w:szCs w:val="24"/>
          <w14:ligatures w14:val="none"/>
        </w:rPr>
        <w:t>]. Following completion of the safety run-in, the study proceeded to the randomization phase in which patients were randomized 1:1 to the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or the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group. In this phase, </w:t>
      </w:r>
      <w:r w:rsidRPr="003F6E7A">
        <w:rPr>
          <w:rFonts w:ascii="Times New Roman" w:eastAsia="宋体" w:hAnsi="Times New Roman" w:cs="Times New Roman"/>
          <w:kern w:val="0"/>
          <w:sz w:val="24"/>
          <w:szCs w:val="24"/>
          <w14:ligatures w14:val="none"/>
        </w:rPr>
        <w:lastRenderedPageBreak/>
        <w:t>patients received 4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or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induction cycles, followed by high-dose therapy and ASCT, then 2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or </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consolidation cycles, followed by up to 2 years of maintenance therapy consisting of daratumumab plus lenalidomide or lenalidomide alone. Patients in the safety run-in phase of GRIFFIN received the same treatment as patients in the randomized phase in the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group. MRD negativity was measured at baseline, at first evidence of suspected CR or stringent CR (including patients with very good partial response or better and suspected daratumumab interference), after induction therapy, at the post-transplant consolidation disease evaluation, and after 1 and 2 years of maintenance therapy.</w:t>
      </w:r>
    </w:p>
    <w:p w14:paraId="1638C342"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 xml:space="preserve">For both studies, the protocols and appropriate related documents were approved by the institutional review board or independent ethics committee at each participating site, and all patients gave written informed consent. The studies were conducted in accordance with the International Conference on </w:t>
      </w:r>
      <w:proofErr w:type="spellStart"/>
      <w:r w:rsidRPr="003F6E7A">
        <w:rPr>
          <w:rFonts w:ascii="Times New Roman" w:eastAsia="宋体" w:hAnsi="Times New Roman" w:cs="Times New Roman"/>
          <w:kern w:val="0"/>
          <w:sz w:val="24"/>
          <w:szCs w:val="24"/>
          <w14:ligatures w14:val="none"/>
        </w:rPr>
        <w:t>Harmonisation</w:t>
      </w:r>
      <w:proofErr w:type="spellEnd"/>
      <w:r w:rsidRPr="003F6E7A">
        <w:rPr>
          <w:rFonts w:ascii="Times New Roman" w:eastAsia="宋体" w:hAnsi="Times New Roman" w:cs="Times New Roman"/>
          <w:kern w:val="0"/>
          <w:sz w:val="24"/>
          <w:szCs w:val="24"/>
          <w14:ligatures w14:val="none"/>
        </w:rPr>
        <w:t xml:space="preserve"> Good Clinical Practice guidelines, the principles originating from the Declaration of Helsinki, as well as study site–specific regulations. The MASTER study followed the University of Alabama at Birmingham O’Neal Comprehensive Cancer Center Data and Safety Monitoring Plan. Each study established an independent Data Monitoring Committee for oversight for study conduct.</w:t>
      </w:r>
    </w:p>
    <w:p w14:paraId="1AA7713A" w14:textId="77777777" w:rsidR="003F6E7A" w:rsidRPr="003F6E7A" w:rsidRDefault="003F6E7A" w:rsidP="003F6E7A">
      <w:pPr>
        <w:widowControl/>
        <w:spacing w:before="360" w:after="120"/>
        <w:jc w:val="left"/>
        <w:outlineLvl w:val="2"/>
        <w:rPr>
          <w:rFonts w:ascii="Times New Roman" w:eastAsia="宋体" w:hAnsi="Times New Roman" w:cs="Times New Roman"/>
          <w:color w:val="222222"/>
          <w:kern w:val="0"/>
          <w:sz w:val="27"/>
          <w:szCs w:val="27"/>
          <w14:ligatures w14:val="none"/>
        </w:rPr>
      </w:pPr>
      <w:r w:rsidRPr="003F6E7A">
        <w:rPr>
          <w:rFonts w:ascii="Times New Roman" w:eastAsia="宋体" w:hAnsi="Times New Roman" w:cs="Times New Roman"/>
          <w:color w:val="222222"/>
          <w:kern w:val="0"/>
          <w:sz w:val="27"/>
          <w:szCs w:val="27"/>
          <w14:ligatures w14:val="none"/>
        </w:rPr>
        <w:t>Endpoints, objectives, and analyses</w:t>
      </w:r>
    </w:p>
    <w:p w14:paraId="24AF8508"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The primary endpoint of the MASTER study was the achievement of MRD negativity at any time during therapy and was previously reported [</w:t>
      </w:r>
      <w:hyperlink r:id="rId32" w:anchor="ref-CR11" w:tooltip="Costa LJ, Chhabra S, Medvedova E, Dholaria BR, Schmidt TM, Godby KN, et al. Daratumumab, carfilzomib, lenalidomide, and dexamethasone with minimal residual disease response-adapted therapy in newly diagnosed multiple myeloma. J Clin Oncol. 2022;40:2901–12." w:history="1">
        <w:r w:rsidRPr="003F6E7A">
          <w:rPr>
            <w:rFonts w:ascii="Times New Roman" w:eastAsia="宋体" w:hAnsi="Times New Roman" w:cs="Times New Roman"/>
            <w:color w:val="006699"/>
            <w:kern w:val="0"/>
            <w:sz w:val="24"/>
            <w:szCs w:val="24"/>
            <w:u w:val="single"/>
            <w14:ligatures w14:val="none"/>
          </w:rPr>
          <w:t>11</w:t>
        </w:r>
      </w:hyperlink>
      <w:r w:rsidRPr="003F6E7A">
        <w:rPr>
          <w:rFonts w:ascii="Times New Roman" w:eastAsia="宋体" w:hAnsi="Times New Roman" w:cs="Times New Roman"/>
          <w:kern w:val="0"/>
          <w:sz w:val="24"/>
          <w:szCs w:val="24"/>
          <w14:ligatures w14:val="none"/>
        </w:rPr>
        <w:t>]. The primary endpoint of GRIFFIN was the stringent CR rate by the end of post-ASCT consolidation treatment and was also previously published [</w:t>
      </w:r>
      <w:hyperlink r:id="rId33" w:anchor="ref-CR13" w:tooltip="Voorhees PM, Kaufman JL, Laubach J, Sborov DW, Reeves B, Rodriguez C, et al. Daratumumab, lenalidomide, bortezomib, and dexamethasone for transplant-eligible newly diagnosed multiple myeloma: the GRIFFIN trial. Blood. 2020;136:936–45." w:history="1">
        <w:r w:rsidRPr="003F6E7A">
          <w:rPr>
            <w:rFonts w:ascii="Times New Roman" w:eastAsia="宋体" w:hAnsi="Times New Roman" w:cs="Times New Roman"/>
            <w:color w:val="006699"/>
            <w:kern w:val="0"/>
            <w:sz w:val="24"/>
            <w:szCs w:val="24"/>
            <w:u w:val="single"/>
            <w14:ligatures w14:val="none"/>
          </w:rPr>
          <w:t>13</w:t>
        </w:r>
      </w:hyperlink>
      <w:r w:rsidRPr="003F6E7A">
        <w:rPr>
          <w:rFonts w:ascii="Times New Roman" w:eastAsia="宋体" w:hAnsi="Times New Roman" w:cs="Times New Roman"/>
          <w:kern w:val="0"/>
          <w:sz w:val="24"/>
          <w:szCs w:val="24"/>
          <w14:ligatures w14:val="none"/>
        </w:rPr>
        <w:t>]. Both studies also assessed additional endpoints, including response rates, MRD-negativity rates (minimum sensitivity threshold of 1 in 100,000 cells [10</w:t>
      </w:r>
      <w:r w:rsidRPr="003F6E7A">
        <w:rPr>
          <w:rFonts w:ascii="Times New Roman" w:eastAsia="微软雅黑" w:hAnsi="Times New Roman" w:cs="Times New Roman"/>
          <w:kern w:val="0"/>
          <w:sz w:val="20"/>
          <w:szCs w:val="20"/>
          <w:vertAlign w:val="superscript"/>
          <w14:ligatures w14:val="none"/>
        </w:rPr>
        <w:t>−</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and PFS. In GRIFFIN, response to study treatment and PFS were evaluated using a validated computer algorithm in alignment with IMWG criteria [</w:t>
      </w:r>
      <w:hyperlink r:id="rId34" w:anchor="ref-CR21" w:tooltip="Rajkumar SV, Dimopoulos MA, Palumbo A, Blade J, Merlini G, Mateos MV, et al. International Myeloma Working Group updated criteria for the diagnosis of multiple myeloma. Lancet Oncol. 2014;15:e538–e48." w:history="1">
        <w:r w:rsidRPr="003F6E7A">
          <w:rPr>
            <w:rFonts w:ascii="Times New Roman" w:eastAsia="宋体" w:hAnsi="Times New Roman" w:cs="Times New Roman"/>
            <w:color w:val="006699"/>
            <w:kern w:val="0"/>
            <w:sz w:val="24"/>
            <w:szCs w:val="24"/>
            <w:u w:val="single"/>
            <w14:ligatures w14:val="none"/>
          </w:rPr>
          <w:t>21</w:t>
        </w:r>
      </w:hyperlink>
      <w:r w:rsidRPr="003F6E7A">
        <w:rPr>
          <w:rFonts w:ascii="Times New Roman" w:eastAsia="宋体" w:hAnsi="Times New Roman" w:cs="Times New Roman"/>
          <w:kern w:val="0"/>
          <w:sz w:val="24"/>
          <w:szCs w:val="24"/>
          <w14:ligatures w14:val="none"/>
        </w:rPr>
        <w:t>, </w:t>
      </w:r>
      <w:hyperlink r:id="rId35" w:anchor="ref-CR22" w:tooltip="Kumar S, Paiva B, Anderson KC, Durie B, Landgren O, Moreau P, et al. International Myeloma Working Group consensus criteria for response and minimal residual disease assessment in multiple myeloma. Lancet Oncol. 2016;17:e328–e46." w:history="1">
        <w:r w:rsidRPr="003F6E7A">
          <w:rPr>
            <w:rFonts w:ascii="Times New Roman" w:eastAsia="宋体" w:hAnsi="Times New Roman" w:cs="Times New Roman"/>
            <w:color w:val="006699"/>
            <w:kern w:val="0"/>
            <w:sz w:val="24"/>
            <w:szCs w:val="24"/>
            <w:u w:val="single"/>
            <w14:ligatures w14:val="none"/>
          </w:rPr>
          <w:t>22</w:t>
        </w:r>
      </w:hyperlink>
      <w:r w:rsidRPr="003F6E7A">
        <w:rPr>
          <w:rFonts w:ascii="Times New Roman" w:eastAsia="宋体" w:hAnsi="Times New Roman" w:cs="Times New Roman"/>
          <w:kern w:val="0"/>
          <w:sz w:val="24"/>
          <w:szCs w:val="24"/>
          <w14:ligatures w14:val="none"/>
        </w:rPr>
        <w:t>]. Patients were considered MRD positive if the MRD assessment was positive, indeterminate, or unavailable. Best response on study for MASTER was also evaluated using IMWG criteria.</w:t>
      </w:r>
    </w:p>
    <w:p w14:paraId="7C8F37E7"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The objective of this post hoc analysis was to evaluate the clinical efficacy of the daratumumab-based quadruplet therapies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(from MASTER) and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(from GRIFFIN) in patients with NDMM with HRCAs, defined as having ≥1 of the following genetic abnormalities: del(17p), </w:t>
      </w:r>
      <w:proofErr w:type="gramStart"/>
      <w:r w:rsidRPr="003F6E7A">
        <w:rPr>
          <w:rFonts w:ascii="Times New Roman" w:eastAsia="宋体" w:hAnsi="Times New Roman" w:cs="Times New Roman"/>
          <w:kern w:val="0"/>
          <w:sz w:val="24"/>
          <w:szCs w:val="24"/>
          <w14:ligatures w14:val="none"/>
        </w:rPr>
        <w:t>t(</w:t>
      </w:r>
      <w:proofErr w:type="gramEnd"/>
      <w:r w:rsidRPr="003F6E7A">
        <w:rPr>
          <w:rFonts w:ascii="Times New Roman" w:eastAsia="宋体" w:hAnsi="Times New Roman" w:cs="Times New Roman"/>
          <w:kern w:val="0"/>
          <w:sz w:val="24"/>
          <w:szCs w:val="24"/>
          <w14:ligatures w14:val="none"/>
        </w:rPr>
        <w:t>4;14), t(14;16), t(14;20), and/or gain/amp(1q21) (≥3 copies of chromosome 1q21). Cytogenetic abnormalities (fluorescence in situ hybridization [FISH]) were assessed by the local labs, normally accessed at the study sites, on bone marrow aspirates in both MASTER and GRIFFIN. Patients with evaluable data were grouped into standard risk, high risk, or ultra-high risk based on the presence of 0, 1, or ≥2 HRCAs, respectively. In addition, MRD-negativity rates were also presented for patients achieving ≥CR in each cytogenetic subgroup. This study descriptively presents the results for the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and </w:t>
      </w:r>
      <w:r w:rsidRPr="003F6E7A">
        <w:rPr>
          <w:rFonts w:ascii="Times New Roman" w:eastAsia="宋体" w:hAnsi="Times New Roman" w:cs="Times New Roman"/>
          <w:kern w:val="0"/>
          <w:sz w:val="24"/>
          <w:szCs w:val="24"/>
          <w14:ligatures w14:val="none"/>
        </w:rPr>
        <w:lastRenderedPageBreak/>
        <w:t>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groups side by side, and thus no statistical or treatment comparisons between the 2 groups were performed. Kaplan–Meier plots and estimates of PFS were provided for each HRCA group in each study.</w:t>
      </w:r>
    </w:p>
    <w:p w14:paraId="1D609B5F" w14:textId="77777777" w:rsidR="003F6E7A" w:rsidRPr="003F6E7A" w:rsidRDefault="003F6E7A" w:rsidP="003F6E7A">
      <w:pPr>
        <w:widowControl/>
        <w:pBdr>
          <w:bottom w:val="single" w:sz="12" w:space="6" w:color="D5D5D5"/>
        </w:pBdr>
        <w:jc w:val="left"/>
        <w:outlineLvl w:val="1"/>
        <w:rPr>
          <w:rFonts w:ascii="Times New Roman" w:eastAsia="宋体" w:hAnsi="Times New Roman" w:cs="Times New Roman"/>
          <w:b/>
          <w:bCs/>
          <w:kern w:val="0"/>
          <w:sz w:val="36"/>
          <w:szCs w:val="36"/>
          <w14:ligatures w14:val="none"/>
        </w:rPr>
      </w:pPr>
      <w:r w:rsidRPr="003F6E7A">
        <w:rPr>
          <w:rFonts w:ascii="Times New Roman" w:eastAsia="宋体" w:hAnsi="Times New Roman" w:cs="Times New Roman"/>
          <w:b/>
          <w:bCs/>
          <w:kern w:val="0"/>
          <w:sz w:val="36"/>
          <w:szCs w:val="36"/>
          <w14:ligatures w14:val="none"/>
        </w:rPr>
        <w:t>Results</w:t>
      </w:r>
    </w:p>
    <w:p w14:paraId="1E354822" w14:textId="77777777" w:rsidR="003F6E7A" w:rsidRPr="003F6E7A" w:rsidRDefault="003F6E7A" w:rsidP="003F6E7A">
      <w:pPr>
        <w:widowControl/>
        <w:spacing w:after="120"/>
        <w:jc w:val="left"/>
        <w:outlineLvl w:val="2"/>
        <w:rPr>
          <w:rFonts w:ascii="Times New Roman" w:eastAsia="宋体" w:hAnsi="Times New Roman" w:cs="Times New Roman"/>
          <w:color w:val="222222"/>
          <w:kern w:val="0"/>
          <w:sz w:val="27"/>
          <w:szCs w:val="27"/>
          <w14:ligatures w14:val="none"/>
        </w:rPr>
      </w:pPr>
      <w:r w:rsidRPr="003F6E7A">
        <w:rPr>
          <w:rFonts w:ascii="Times New Roman" w:eastAsia="宋体" w:hAnsi="Times New Roman" w:cs="Times New Roman"/>
          <w:color w:val="222222"/>
          <w:kern w:val="0"/>
          <w:sz w:val="27"/>
          <w:szCs w:val="27"/>
          <w14:ligatures w14:val="none"/>
        </w:rPr>
        <w:t>Patient characteristics</w:t>
      </w:r>
    </w:p>
    <w:p w14:paraId="7D1CF1CD"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A total of 123 patients with NDMM were enrolled in the MASTER study; most patients had ≥1 HRCA (1 HRCA, 37.4%,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46; ≥2 HRCAs, 19.5%,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24) and the remainder had 0 HRCA (43.1%,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53). There was no difference in the median duration of study treatment for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induction, ASCT, and consolidation among patients with NDMM with 0, 1, or ≥2 HRCAs, which was 11.5, 11.5, and 11.7 months, respectively (Table </w:t>
      </w:r>
      <w:hyperlink r:id="rId36" w:anchor="Tab1" w:history="1">
        <w:r w:rsidRPr="003F6E7A">
          <w:rPr>
            <w:rFonts w:ascii="Times New Roman" w:eastAsia="宋体" w:hAnsi="Times New Roman" w:cs="Times New Roman"/>
            <w:color w:val="006699"/>
            <w:kern w:val="0"/>
            <w:sz w:val="24"/>
            <w:szCs w:val="24"/>
            <w:u w:val="single"/>
            <w14:ligatures w14:val="none"/>
          </w:rPr>
          <w:t>1</w:t>
        </w:r>
      </w:hyperlink>
      <w:r w:rsidRPr="003F6E7A">
        <w:rPr>
          <w:rFonts w:ascii="Times New Roman" w:eastAsia="宋体" w:hAnsi="Times New Roman" w:cs="Times New Roman"/>
          <w:kern w:val="0"/>
          <w:sz w:val="24"/>
          <w:szCs w:val="24"/>
          <w14:ligatures w14:val="none"/>
        </w:rPr>
        <w:t>). Among 120 patients with NDMM in GRIFFIN who received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therapy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104 randomized phase and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16 safety run-in), most had 0 HRCA (55.8%,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67) or 1 HRCA (28.3%,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34), and a smaller number of patients had ≥2 HRCAs (10.8%,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13). Six (5.0%) GRIFFIN patients were not evaluable for cytogenetic abnormalities because cytogenetic testing was not done or data were not captured; therefore, these patients were not included in this analysis. The median duration of study treatment for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induction, ASCT, and consolidation was 8.1, 8.1, and 7.4 months among patients with NDMM with 0, 1, or ≥2 HRCAs, respectively, and the median duration of study maintenance therapy was 24.4, 24.2, and 23.9 months for patients with 0, 1, or ≥2 HRCAs, respectively (Table </w:t>
      </w:r>
      <w:hyperlink r:id="rId37" w:anchor="Tab2" w:history="1">
        <w:r w:rsidRPr="003F6E7A">
          <w:rPr>
            <w:rFonts w:ascii="Times New Roman" w:eastAsia="宋体" w:hAnsi="Times New Roman" w:cs="Times New Roman"/>
            <w:color w:val="006699"/>
            <w:kern w:val="0"/>
            <w:sz w:val="24"/>
            <w:szCs w:val="24"/>
            <w:u w:val="single"/>
            <w14:ligatures w14:val="none"/>
          </w:rPr>
          <w:t>2</w:t>
        </w:r>
      </w:hyperlink>
      <w:r w:rsidRPr="003F6E7A">
        <w:rPr>
          <w:rFonts w:ascii="Times New Roman" w:eastAsia="宋体" w:hAnsi="Times New Roman" w:cs="Times New Roman"/>
          <w:kern w:val="0"/>
          <w:sz w:val="24"/>
          <w:szCs w:val="24"/>
          <w14:ligatures w14:val="none"/>
        </w:rPr>
        <w:t>). In both MASTER and GRIFFIN, the median age of patients was 60 years. Among patients with ≥2 HRCAs, a relatively high proportion had International Staging System stage III disease (45.8%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11] of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and 30.8%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4] of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or extramedullary disease (7.7%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 of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data on extramedullary disease were not available in MASTER).</w:t>
      </w:r>
    </w:p>
    <w:p w14:paraId="5A75412E"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b/>
          <w:bCs/>
          <w:kern w:val="0"/>
          <w:sz w:val="24"/>
          <w:szCs w:val="24"/>
          <w14:ligatures w14:val="none"/>
        </w:rPr>
        <w:t>Table 1 Baseline characteristics for patients who received D-</w:t>
      </w:r>
      <w:proofErr w:type="spellStart"/>
      <w:r w:rsidRPr="003F6E7A">
        <w:rPr>
          <w:rFonts w:ascii="Times New Roman" w:eastAsia="宋体" w:hAnsi="Times New Roman" w:cs="Times New Roman"/>
          <w:b/>
          <w:bCs/>
          <w:kern w:val="0"/>
          <w:sz w:val="24"/>
          <w:szCs w:val="24"/>
          <w14:ligatures w14:val="none"/>
        </w:rPr>
        <w:t>KRd</w:t>
      </w:r>
      <w:proofErr w:type="spellEnd"/>
      <w:r w:rsidRPr="003F6E7A">
        <w:rPr>
          <w:rFonts w:ascii="Times New Roman" w:eastAsia="宋体" w:hAnsi="Times New Roman" w:cs="Times New Roman"/>
          <w:b/>
          <w:bCs/>
          <w:kern w:val="0"/>
          <w:sz w:val="24"/>
          <w:szCs w:val="24"/>
          <w14:ligatures w14:val="none"/>
        </w:rPr>
        <w:t xml:space="preserve"> in MASTER.</w:t>
      </w:r>
    </w:p>
    <w:p w14:paraId="5F52575A" w14:textId="77777777" w:rsidR="003F6E7A" w:rsidRPr="003F6E7A" w:rsidRDefault="003F6E7A" w:rsidP="003F6E7A">
      <w:pPr>
        <w:widowControl/>
        <w:jc w:val="right"/>
        <w:rPr>
          <w:rFonts w:ascii="Times New Roman" w:eastAsia="宋体" w:hAnsi="Times New Roman" w:cs="Times New Roman"/>
          <w:kern w:val="0"/>
          <w:sz w:val="24"/>
          <w:szCs w:val="24"/>
          <w14:ligatures w14:val="none"/>
        </w:rPr>
      </w:pPr>
      <w:hyperlink r:id="rId38" w:history="1">
        <w:r w:rsidRPr="003F6E7A">
          <w:rPr>
            <w:rFonts w:ascii="Times New Roman" w:eastAsia="宋体" w:hAnsi="Times New Roman" w:cs="Times New Roman"/>
            <w:b/>
            <w:bCs/>
            <w:color w:val="006699"/>
            <w:kern w:val="0"/>
            <w:sz w:val="24"/>
            <w:szCs w:val="24"/>
            <w:bdr w:val="single" w:sz="24" w:space="6" w:color="BCD2DC" w:frame="1"/>
            <w:shd w:val="clear" w:color="auto" w:fill="FFFFFF"/>
            <w14:ligatures w14:val="none"/>
          </w:rPr>
          <w:t>Full size table</w:t>
        </w:r>
      </w:hyperlink>
    </w:p>
    <w:p w14:paraId="74EE0922"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b/>
          <w:bCs/>
          <w:kern w:val="0"/>
          <w:sz w:val="24"/>
          <w:szCs w:val="24"/>
          <w14:ligatures w14:val="none"/>
        </w:rPr>
        <w:t>Table 2 Baseline characteristics for patients who received D-</w:t>
      </w:r>
      <w:proofErr w:type="spellStart"/>
      <w:r w:rsidRPr="003F6E7A">
        <w:rPr>
          <w:rFonts w:ascii="Times New Roman" w:eastAsia="宋体" w:hAnsi="Times New Roman" w:cs="Times New Roman"/>
          <w:b/>
          <w:bCs/>
          <w:kern w:val="0"/>
          <w:sz w:val="24"/>
          <w:szCs w:val="24"/>
          <w14:ligatures w14:val="none"/>
        </w:rPr>
        <w:t>RVd</w:t>
      </w:r>
      <w:proofErr w:type="spellEnd"/>
      <w:r w:rsidRPr="003F6E7A">
        <w:rPr>
          <w:rFonts w:ascii="Times New Roman" w:eastAsia="宋体" w:hAnsi="Times New Roman" w:cs="Times New Roman"/>
          <w:b/>
          <w:bCs/>
          <w:kern w:val="0"/>
          <w:sz w:val="24"/>
          <w:szCs w:val="24"/>
          <w14:ligatures w14:val="none"/>
        </w:rPr>
        <w:t xml:space="preserve"> in GRIFFIN.</w:t>
      </w:r>
    </w:p>
    <w:p w14:paraId="6AE15DB4" w14:textId="77777777" w:rsidR="003F6E7A" w:rsidRPr="003F6E7A" w:rsidRDefault="003F6E7A" w:rsidP="003F6E7A">
      <w:pPr>
        <w:widowControl/>
        <w:jc w:val="right"/>
        <w:rPr>
          <w:rFonts w:ascii="Times New Roman" w:eastAsia="宋体" w:hAnsi="Times New Roman" w:cs="Times New Roman"/>
          <w:kern w:val="0"/>
          <w:sz w:val="24"/>
          <w:szCs w:val="24"/>
          <w14:ligatures w14:val="none"/>
        </w:rPr>
      </w:pPr>
      <w:hyperlink r:id="rId39" w:history="1">
        <w:r w:rsidRPr="003F6E7A">
          <w:rPr>
            <w:rFonts w:ascii="Times New Roman" w:eastAsia="宋体" w:hAnsi="Times New Roman" w:cs="Times New Roman"/>
            <w:b/>
            <w:bCs/>
            <w:color w:val="006699"/>
            <w:kern w:val="0"/>
            <w:sz w:val="24"/>
            <w:szCs w:val="24"/>
            <w:bdr w:val="single" w:sz="24" w:space="6" w:color="BCD2DC" w:frame="1"/>
            <w:shd w:val="clear" w:color="auto" w:fill="FFFFFF"/>
            <w14:ligatures w14:val="none"/>
          </w:rPr>
          <w:t>Full size table</w:t>
        </w:r>
      </w:hyperlink>
    </w:p>
    <w:p w14:paraId="62D4A212" w14:textId="77777777" w:rsidR="003F6E7A" w:rsidRPr="003F6E7A" w:rsidRDefault="003F6E7A" w:rsidP="003F6E7A">
      <w:pPr>
        <w:widowControl/>
        <w:spacing w:before="360" w:after="120"/>
        <w:jc w:val="left"/>
        <w:outlineLvl w:val="2"/>
        <w:rPr>
          <w:rFonts w:ascii="Times New Roman" w:eastAsia="宋体" w:hAnsi="Times New Roman" w:cs="Times New Roman"/>
          <w:color w:val="222222"/>
          <w:kern w:val="0"/>
          <w:sz w:val="27"/>
          <w:szCs w:val="27"/>
          <w14:ligatures w14:val="none"/>
        </w:rPr>
      </w:pPr>
      <w:r w:rsidRPr="003F6E7A">
        <w:rPr>
          <w:rFonts w:ascii="Times New Roman" w:eastAsia="宋体" w:hAnsi="Times New Roman" w:cs="Times New Roman"/>
          <w:color w:val="222222"/>
          <w:kern w:val="0"/>
          <w:sz w:val="27"/>
          <w:szCs w:val="27"/>
          <w14:ligatures w14:val="none"/>
        </w:rPr>
        <w:t>Efficacy</w:t>
      </w:r>
    </w:p>
    <w:p w14:paraId="125A8B19"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In an analysis of best response at any time point during the study, rates of ≥CR were highest for patients with 0 or 1 HRCA in both GRIFFIN and MASTER (Fig. </w:t>
      </w:r>
      <w:hyperlink r:id="rId40" w:anchor="Fig1" w:history="1">
        <w:r w:rsidRPr="003F6E7A">
          <w:rPr>
            <w:rFonts w:ascii="Times New Roman" w:eastAsia="宋体" w:hAnsi="Times New Roman" w:cs="Times New Roman"/>
            <w:color w:val="006699"/>
            <w:kern w:val="0"/>
            <w:sz w:val="24"/>
            <w:szCs w:val="24"/>
            <w:u w:val="single"/>
            <w14:ligatures w14:val="none"/>
          </w:rPr>
          <w:t>1</w:t>
        </w:r>
      </w:hyperlink>
      <w:r w:rsidRPr="003F6E7A">
        <w:rPr>
          <w:rFonts w:ascii="Times New Roman" w:eastAsia="宋体" w:hAnsi="Times New Roman" w:cs="Times New Roman"/>
          <w:kern w:val="0"/>
          <w:sz w:val="24"/>
          <w:szCs w:val="24"/>
          <w14:ligatures w14:val="none"/>
        </w:rPr>
        <w:t>). In MASTER, rates of ≥CR among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were 90.6%, 89.1%, and 70.8% for 0, 1, or ≥2 HRCAs, respectively. In GRIFFIN, rates of ≥CR among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were 90.9%, 78.8%, and 61.5% for 0, 1, or ≥2 HRCAs.</w:t>
      </w:r>
    </w:p>
    <w:p w14:paraId="3696E98B"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b/>
          <w:bCs/>
          <w:kern w:val="0"/>
          <w:sz w:val="24"/>
          <w:szCs w:val="24"/>
          <w14:ligatures w14:val="none"/>
        </w:rPr>
        <w:lastRenderedPageBreak/>
        <w:t>Fig. 1: Rates of ≥CR (best response on study) by cytogenetic risk status* among patients who received D-</w:t>
      </w:r>
      <w:proofErr w:type="spellStart"/>
      <w:r w:rsidRPr="003F6E7A">
        <w:rPr>
          <w:rFonts w:ascii="Times New Roman" w:eastAsia="宋体" w:hAnsi="Times New Roman" w:cs="Times New Roman"/>
          <w:b/>
          <w:bCs/>
          <w:kern w:val="0"/>
          <w:sz w:val="24"/>
          <w:szCs w:val="24"/>
          <w14:ligatures w14:val="none"/>
        </w:rPr>
        <w:t>KRd</w:t>
      </w:r>
      <w:proofErr w:type="spellEnd"/>
      <w:r w:rsidRPr="003F6E7A">
        <w:rPr>
          <w:rFonts w:ascii="Times New Roman" w:eastAsia="宋体" w:hAnsi="Times New Roman" w:cs="Times New Roman"/>
          <w:b/>
          <w:bCs/>
          <w:kern w:val="0"/>
          <w:sz w:val="24"/>
          <w:szCs w:val="24"/>
          <w14:ligatures w14:val="none"/>
        </w:rPr>
        <w:t xml:space="preserve"> in MASTER</w:t>
      </w:r>
      <w:r w:rsidRPr="003F6E7A">
        <w:rPr>
          <w:rFonts w:ascii="Times New Roman" w:eastAsia="宋体" w:hAnsi="Times New Roman" w:cs="Times New Roman"/>
          <w:b/>
          <w:bCs/>
          <w:kern w:val="0"/>
          <w:sz w:val="20"/>
          <w:szCs w:val="20"/>
          <w:vertAlign w:val="superscript"/>
          <w14:ligatures w14:val="none"/>
        </w:rPr>
        <w:t>†</w:t>
      </w:r>
      <w:r w:rsidRPr="003F6E7A">
        <w:rPr>
          <w:rFonts w:ascii="Times New Roman" w:eastAsia="宋体" w:hAnsi="Times New Roman" w:cs="Times New Roman"/>
          <w:b/>
          <w:bCs/>
          <w:kern w:val="0"/>
          <w:sz w:val="24"/>
          <w:szCs w:val="24"/>
          <w14:ligatures w14:val="none"/>
        </w:rPr>
        <w:t> and D-</w:t>
      </w:r>
      <w:proofErr w:type="spellStart"/>
      <w:r w:rsidRPr="003F6E7A">
        <w:rPr>
          <w:rFonts w:ascii="Times New Roman" w:eastAsia="宋体" w:hAnsi="Times New Roman" w:cs="Times New Roman"/>
          <w:b/>
          <w:bCs/>
          <w:kern w:val="0"/>
          <w:sz w:val="24"/>
          <w:szCs w:val="24"/>
          <w14:ligatures w14:val="none"/>
        </w:rPr>
        <w:t>RVd</w:t>
      </w:r>
      <w:proofErr w:type="spellEnd"/>
      <w:r w:rsidRPr="003F6E7A">
        <w:rPr>
          <w:rFonts w:ascii="Times New Roman" w:eastAsia="宋体" w:hAnsi="Times New Roman" w:cs="Times New Roman"/>
          <w:b/>
          <w:bCs/>
          <w:kern w:val="0"/>
          <w:sz w:val="24"/>
          <w:szCs w:val="24"/>
          <w14:ligatures w14:val="none"/>
        </w:rPr>
        <w:t xml:space="preserve"> in GRIFFIN</w:t>
      </w:r>
      <w:r w:rsidRPr="003F6E7A">
        <w:rPr>
          <w:rFonts w:ascii="Times New Roman" w:eastAsia="宋体" w:hAnsi="Times New Roman" w:cs="Times New Roman"/>
          <w:b/>
          <w:bCs/>
          <w:kern w:val="0"/>
          <w:sz w:val="20"/>
          <w:szCs w:val="20"/>
          <w:vertAlign w:val="superscript"/>
          <w14:ligatures w14:val="none"/>
        </w:rPr>
        <w:t>‡</w:t>
      </w:r>
      <w:r w:rsidRPr="003F6E7A">
        <w:rPr>
          <w:rFonts w:ascii="Times New Roman" w:eastAsia="宋体" w:hAnsi="Times New Roman" w:cs="Times New Roman"/>
          <w:b/>
          <w:bCs/>
          <w:kern w:val="0"/>
          <w:sz w:val="24"/>
          <w:szCs w:val="24"/>
          <w14:ligatures w14:val="none"/>
        </w:rPr>
        <w:t>.</w:t>
      </w:r>
    </w:p>
    <w:p w14:paraId="568A3A75" w14:textId="77B2F142"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noProof/>
          <w:color w:val="006699"/>
          <w:kern w:val="0"/>
          <w:sz w:val="24"/>
          <w:szCs w:val="24"/>
          <w14:ligatures w14:val="none"/>
        </w:rPr>
        <w:drawing>
          <wp:inline distT="0" distB="0" distL="0" distR="0" wp14:anchorId="25210B36" wp14:editId="54345BCF">
            <wp:extent cx="5274310" cy="2254250"/>
            <wp:effectExtent l="0" t="0" r="2540" b="0"/>
            <wp:docPr id="229933379" name="图片 1" descr="figure 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254250"/>
                    </a:xfrm>
                    <a:prstGeom prst="rect">
                      <a:avLst/>
                    </a:prstGeom>
                    <a:noFill/>
                    <a:ln>
                      <a:noFill/>
                    </a:ln>
                  </pic:spPr>
                </pic:pic>
              </a:graphicData>
            </a:graphic>
          </wp:inline>
        </w:drawing>
      </w:r>
    </w:p>
    <w:p w14:paraId="0FF186DA"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Rates of ≥CR were assessed based on International Uniform Response Criteria Consensus Recommendations, and percentages were calculated with the number of patients in the treatment group as the denominator. ≥CR complete response or better,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daratumumab plus carfilzomib/lenalidomide/dexamethasone,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daratumumab plus lenalidomide/bortezomib/dexamethasone, HRCA high-risk cytogenetic abnormality. *HRCAs include any of the following genetic abnormalities: del(17p), </w:t>
      </w:r>
      <w:proofErr w:type="gramStart"/>
      <w:r w:rsidRPr="003F6E7A">
        <w:rPr>
          <w:rFonts w:ascii="Times New Roman" w:eastAsia="宋体" w:hAnsi="Times New Roman" w:cs="Times New Roman"/>
          <w:kern w:val="0"/>
          <w:sz w:val="24"/>
          <w:szCs w:val="24"/>
          <w14:ligatures w14:val="none"/>
        </w:rPr>
        <w:t>t(</w:t>
      </w:r>
      <w:proofErr w:type="gramEnd"/>
      <w:r w:rsidRPr="003F6E7A">
        <w:rPr>
          <w:rFonts w:ascii="Times New Roman" w:eastAsia="宋体" w:hAnsi="Times New Roman" w:cs="Times New Roman"/>
          <w:kern w:val="0"/>
          <w:sz w:val="24"/>
          <w:szCs w:val="24"/>
          <w14:ligatures w14:val="none"/>
        </w:rPr>
        <w:t>4;14), t(14;16), t(14;20), and gain/amp(1q21) (≥3 copies of chromosome 1q21). Patients were grouped into categories: standard risk (0 HRCA), high risk (1 HRCA), or ultra-high risk (≥2 HRCAs). </w:t>
      </w:r>
      <w:r w:rsidRPr="003F6E7A">
        <w:rPr>
          <w:rFonts w:ascii="Times New Roman" w:eastAsia="宋体" w:hAnsi="Times New Roman" w:cs="Times New Roman"/>
          <w:kern w:val="0"/>
          <w:sz w:val="18"/>
          <w:szCs w:val="18"/>
          <w:vertAlign w:val="superscript"/>
          <w14:ligatures w14:val="none"/>
        </w:rPr>
        <w:t>†</w:t>
      </w:r>
      <w:r w:rsidRPr="003F6E7A">
        <w:rPr>
          <w:rFonts w:ascii="Times New Roman" w:eastAsia="宋体" w:hAnsi="Times New Roman" w:cs="Times New Roman"/>
          <w:kern w:val="0"/>
          <w:sz w:val="24"/>
          <w:szCs w:val="24"/>
          <w14:ligatures w14:val="none"/>
        </w:rPr>
        <w:t>Evaluable patients in MASTER included all enrolled patients (0 HRCA,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53; 1 HRCA,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46; ≥2 HRCAs,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24). </w:t>
      </w:r>
      <w:r w:rsidRPr="003F6E7A">
        <w:rPr>
          <w:rFonts w:ascii="Times New Roman" w:eastAsia="宋体" w:hAnsi="Times New Roman" w:cs="Times New Roman"/>
          <w:kern w:val="0"/>
          <w:sz w:val="18"/>
          <w:szCs w:val="18"/>
          <w:vertAlign w:val="superscript"/>
          <w14:ligatures w14:val="none"/>
        </w:rPr>
        <w:t>‡</w:t>
      </w:r>
      <w:r w:rsidRPr="003F6E7A">
        <w:rPr>
          <w:rFonts w:ascii="Times New Roman" w:eastAsia="宋体" w:hAnsi="Times New Roman" w:cs="Times New Roman"/>
          <w:kern w:val="0"/>
          <w:sz w:val="24"/>
          <w:szCs w:val="24"/>
          <w14:ligatures w14:val="none"/>
        </w:rPr>
        <w:t>Evaluable patients in GRIFFIN were the response-evaluable population (0 HRCA,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66; 1 HRCA,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33; ≥2 HRCAs, </w:t>
      </w:r>
      <w:r w:rsidRPr="003F6E7A">
        <w:rPr>
          <w:rFonts w:ascii="Times New Roman" w:eastAsia="宋体" w:hAnsi="Times New Roman" w:cs="Times New Roman"/>
          <w:i/>
          <w:iCs/>
          <w:kern w:val="0"/>
          <w:sz w:val="24"/>
          <w:szCs w:val="24"/>
          <w14:ligatures w14:val="none"/>
        </w:rPr>
        <w:t>n</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w:t>
      </w:r>
      <w:r w:rsidRPr="003F6E7A">
        <w:rPr>
          <w:rFonts w:ascii="Times New Roman" w:eastAsia="MS Gothic" w:hAnsi="Times New Roman" w:cs="Times New Roman"/>
          <w:kern w:val="0"/>
          <w:sz w:val="24"/>
          <w:szCs w:val="24"/>
          <w14:ligatures w14:val="none"/>
        </w:rPr>
        <w:t> </w:t>
      </w:r>
      <w:r w:rsidRPr="003F6E7A">
        <w:rPr>
          <w:rFonts w:ascii="Times New Roman" w:eastAsia="宋体" w:hAnsi="Times New Roman" w:cs="Times New Roman"/>
          <w:kern w:val="0"/>
          <w:sz w:val="24"/>
          <w:szCs w:val="24"/>
          <w14:ligatures w14:val="none"/>
        </w:rPr>
        <w:t>13).</w:t>
      </w:r>
    </w:p>
    <w:p w14:paraId="3FCF25B3" w14:textId="77777777" w:rsidR="003F6E7A" w:rsidRPr="003F6E7A" w:rsidRDefault="003F6E7A" w:rsidP="003F6E7A">
      <w:pPr>
        <w:widowControl/>
        <w:jc w:val="right"/>
        <w:rPr>
          <w:rFonts w:ascii="Times New Roman" w:eastAsia="宋体" w:hAnsi="Times New Roman" w:cs="Times New Roman"/>
          <w:kern w:val="0"/>
          <w:sz w:val="24"/>
          <w:szCs w:val="24"/>
          <w14:ligatures w14:val="none"/>
        </w:rPr>
      </w:pPr>
      <w:hyperlink r:id="rId43" w:history="1">
        <w:r w:rsidRPr="003F6E7A">
          <w:rPr>
            <w:rFonts w:ascii="Times New Roman" w:eastAsia="宋体" w:hAnsi="Times New Roman" w:cs="Times New Roman"/>
            <w:b/>
            <w:bCs/>
            <w:color w:val="006699"/>
            <w:kern w:val="0"/>
            <w:sz w:val="24"/>
            <w:szCs w:val="24"/>
            <w:bdr w:val="single" w:sz="24" w:space="6" w:color="BCD2DC" w:frame="1"/>
            <w:shd w:val="clear" w:color="auto" w:fill="FFFFFF"/>
            <w14:ligatures w14:val="none"/>
          </w:rPr>
          <w:t>Full size image</w:t>
        </w:r>
      </w:hyperlink>
    </w:p>
    <w:p w14:paraId="08E608F7" w14:textId="77777777" w:rsidR="003F6E7A" w:rsidRPr="003F6E7A" w:rsidRDefault="003F6E7A" w:rsidP="003F6E7A">
      <w:pPr>
        <w:widowControl/>
        <w:spacing w:after="360"/>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MRD-negativity (both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and 10</w:t>
      </w:r>
      <w:r w:rsidRPr="003F6E7A">
        <w:rPr>
          <w:rFonts w:ascii="Times New Roman" w:eastAsia="宋体" w:hAnsi="Times New Roman" w:cs="Times New Roman"/>
          <w:kern w:val="0"/>
          <w:sz w:val="20"/>
          <w:szCs w:val="20"/>
          <w:vertAlign w:val="superscript"/>
          <w14:ligatures w14:val="none"/>
        </w:rPr>
        <w:t>–6</w:t>
      </w:r>
      <w:r w:rsidRPr="003F6E7A">
        <w:rPr>
          <w:rFonts w:ascii="Times New Roman" w:eastAsia="宋体" w:hAnsi="Times New Roman" w:cs="Times New Roman"/>
          <w:kern w:val="0"/>
          <w:sz w:val="24"/>
          <w:szCs w:val="24"/>
          <w14:ligatures w14:val="none"/>
        </w:rPr>
        <w:t>) rates were generally similar for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across patients with 0, 1, or ≥2 HRCAs, but were highest for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in patients with 1 HRCA (Table </w:t>
      </w:r>
      <w:hyperlink r:id="rId44" w:anchor="Tab3" w:history="1">
        <w:r w:rsidRPr="003F6E7A">
          <w:rPr>
            <w:rFonts w:ascii="Times New Roman" w:eastAsia="宋体" w:hAnsi="Times New Roman" w:cs="Times New Roman"/>
            <w:color w:val="006699"/>
            <w:kern w:val="0"/>
            <w:sz w:val="24"/>
            <w:szCs w:val="24"/>
            <w:u w:val="single"/>
            <w14:ligatures w14:val="none"/>
          </w:rPr>
          <w:t>3</w:t>
        </w:r>
      </w:hyperlink>
      <w:r w:rsidRPr="003F6E7A">
        <w:rPr>
          <w:rFonts w:ascii="Times New Roman" w:eastAsia="宋体" w:hAnsi="Times New Roman" w:cs="Times New Roman"/>
          <w:kern w:val="0"/>
          <w:sz w:val="24"/>
          <w:szCs w:val="24"/>
          <w14:ligatures w14:val="none"/>
        </w:rPr>
        <w:t>). In MASTER, MRD-negativity rates following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were 80.0%, 86.4%, and 83.3% at the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threshold for 0, 1, or ≥2 HRCAs, respectively, and 68.0%, 79.5%, and 66.7% at the 10</w:t>
      </w:r>
      <w:r w:rsidRPr="003F6E7A">
        <w:rPr>
          <w:rFonts w:ascii="Times New Roman" w:eastAsia="宋体" w:hAnsi="Times New Roman" w:cs="Times New Roman"/>
          <w:kern w:val="0"/>
          <w:sz w:val="20"/>
          <w:szCs w:val="20"/>
          <w:vertAlign w:val="superscript"/>
          <w14:ligatures w14:val="none"/>
        </w:rPr>
        <w:t>–6</w:t>
      </w:r>
      <w:r w:rsidRPr="003F6E7A">
        <w:rPr>
          <w:rFonts w:ascii="Times New Roman" w:eastAsia="宋体" w:hAnsi="Times New Roman" w:cs="Times New Roman"/>
          <w:kern w:val="0"/>
          <w:sz w:val="24"/>
          <w:szCs w:val="24"/>
          <w14:ligatures w14:val="none"/>
        </w:rPr>
        <w:t> threshold. In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who achieved ≥CR, MRD-negativity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rates were 84.4%, 89.7%, and 94.1% for 0, 1, or ≥2 HRCAs, respectively. Rates of sustained MRD 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lasting ≥12 months were 64.0%, 72.7%, and 50.0% among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with 0, 1, or ≥2 HRCAs. Median time to MRD 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was similar across HRCA groups (0 HRCA, 7.5 months; 1 HRCA, 7.1 months; ≥2 HRCAs, 7.6 months). In GRIFFIN, MRD-negativity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rates in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were 76.1%, 55.9%, and 61.5% for 0, 1, or ≥2 HRCAs, respectively. MRD-negativity (10</w:t>
      </w:r>
      <w:r w:rsidRPr="003F6E7A">
        <w:rPr>
          <w:rFonts w:ascii="Times New Roman" w:eastAsia="宋体" w:hAnsi="Times New Roman" w:cs="Times New Roman"/>
          <w:kern w:val="0"/>
          <w:sz w:val="20"/>
          <w:szCs w:val="20"/>
          <w:vertAlign w:val="superscript"/>
          <w14:ligatures w14:val="none"/>
        </w:rPr>
        <w:t>–6</w:t>
      </w:r>
      <w:r w:rsidRPr="003F6E7A">
        <w:rPr>
          <w:rFonts w:ascii="Times New Roman" w:eastAsia="宋体" w:hAnsi="Times New Roman" w:cs="Times New Roman"/>
          <w:kern w:val="0"/>
          <w:sz w:val="24"/>
          <w:szCs w:val="24"/>
          <w14:ligatures w14:val="none"/>
        </w:rPr>
        <w:t>) rates were higher for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with 0 HRCA (44.8%) and 1 HRCA (26.5%) compared with ≥2 HRCAs (15.4%). In patients who achieved ≥CR, MRD-negativity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rates in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were </w:t>
      </w:r>
      <w:r w:rsidRPr="003F6E7A">
        <w:rPr>
          <w:rFonts w:ascii="Times New Roman" w:eastAsia="宋体" w:hAnsi="Times New Roman" w:cs="Times New Roman"/>
          <w:kern w:val="0"/>
          <w:sz w:val="24"/>
          <w:szCs w:val="24"/>
          <w14:ligatures w14:val="none"/>
        </w:rPr>
        <w:lastRenderedPageBreak/>
        <w:t>83.3%, 69.2%, and 87.5% among patients with 0, 1, or ≥2 HRCAs, respectively. Rates of sustained MRD 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lasting ≥12 months were 53.7%, 38.2%, and 30.8% among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with 0, 1, or ≥2 HRCAs. Median time to MRD negativity (10</w:t>
      </w:r>
      <w:r w:rsidRPr="003F6E7A">
        <w:rPr>
          <w:rFonts w:ascii="Times New Roman" w:eastAsia="宋体" w:hAnsi="Times New Roman" w:cs="Times New Roman"/>
          <w:kern w:val="0"/>
          <w:sz w:val="20"/>
          <w:szCs w:val="20"/>
          <w:vertAlign w:val="superscript"/>
          <w14:ligatures w14:val="none"/>
        </w:rPr>
        <w:t>–5</w:t>
      </w:r>
      <w:r w:rsidRPr="003F6E7A">
        <w:rPr>
          <w:rFonts w:ascii="Times New Roman" w:eastAsia="宋体" w:hAnsi="Times New Roman" w:cs="Times New Roman"/>
          <w:kern w:val="0"/>
          <w:sz w:val="24"/>
          <w:szCs w:val="24"/>
          <w14:ligatures w14:val="none"/>
        </w:rPr>
        <w:t>) was 8.5, 8.6, and 19.6 months among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with 0, 1, or ≥2 HRCAs.</w:t>
      </w:r>
    </w:p>
    <w:p w14:paraId="7BF2A366"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b/>
          <w:bCs/>
          <w:kern w:val="0"/>
          <w:sz w:val="24"/>
          <w:szCs w:val="24"/>
          <w14:ligatures w14:val="none"/>
        </w:rPr>
        <w:t xml:space="preserve">Table 3 MRD negativity by cytogenetic risk </w:t>
      </w:r>
      <w:proofErr w:type="spellStart"/>
      <w:r w:rsidRPr="003F6E7A">
        <w:rPr>
          <w:rFonts w:ascii="Times New Roman" w:eastAsia="宋体" w:hAnsi="Times New Roman" w:cs="Times New Roman"/>
          <w:b/>
          <w:bCs/>
          <w:kern w:val="0"/>
          <w:sz w:val="24"/>
          <w:szCs w:val="24"/>
          <w14:ligatures w14:val="none"/>
        </w:rPr>
        <w:t>status</w:t>
      </w:r>
      <w:r w:rsidRPr="003F6E7A">
        <w:rPr>
          <w:rFonts w:ascii="Times New Roman" w:eastAsia="宋体" w:hAnsi="Times New Roman" w:cs="Times New Roman"/>
          <w:b/>
          <w:bCs/>
          <w:kern w:val="0"/>
          <w:sz w:val="20"/>
          <w:szCs w:val="20"/>
          <w:vertAlign w:val="superscript"/>
          <w14:ligatures w14:val="none"/>
        </w:rPr>
        <w:t>a</w:t>
      </w:r>
      <w:proofErr w:type="spellEnd"/>
      <w:r w:rsidRPr="003F6E7A">
        <w:rPr>
          <w:rFonts w:ascii="Times New Roman" w:eastAsia="宋体" w:hAnsi="Times New Roman" w:cs="Times New Roman"/>
          <w:b/>
          <w:bCs/>
          <w:kern w:val="0"/>
          <w:sz w:val="24"/>
          <w:szCs w:val="24"/>
          <w14:ligatures w14:val="none"/>
        </w:rPr>
        <w:t> among patients who received D-</w:t>
      </w:r>
      <w:proofErr w:type="spellStart"/>
      <w:r w:rsidRPr="003F6E7A">
        <w:rPr>
          <w:rFonts w:ascii="Times New Roman" w:eastAsia="宋体" w:hAnsi="Times New Roman" w:cs="Times New Roman"/>
          <w:b/>
          <w:bCs/>
          <w:kern w:val="0"/>
          <w:sz w:val="24"/>
          <w:szCs w:val="24"/>
          <w14:ligatures w14:val="none"/>
        </w:rPr>
        <w:t>KRd</w:t>
      </w:r>
      <w:proofErr w:type="spellEnd"/>
      <w:r w:rsidRPr="003F6E7A">
        <w:rPr>
          <w:rFonts w:ascii="Times New Roman" w:eastAsia="宋体" w:hAnsi="Times New Roman" w:cs="Times New Roman"/>
          <w:b/>
          <w:bCs/>
          <w:kern w:val="0"/>
          <w:sz w:val="24"/>
          <w:szCs w:val="24"/>
          <w14:ligatures w14:val="none"/>
        </w:rPr>
        <w:t xml:space="preserve"> in MASTER and D-</w:t>
      </w:r>
      <w:proofErr w:type="spellStart"/>
      <w:r w:rsidRPr="003F6E7A">
        <w:rPr>
          <w:rFonts w:ascii="Times New Roman" w:eastAsia="宋体" w:hAnsi="Times New Roman" w:cs="Times New Roman"/>
          <w:b/>
          <w:bCs/>
          <w:kern w:val="0"/>
          <w:sz w:val="24"/>
          <w:szCs w:val="24"/>
          <w14:ligatures w14:val="none"/>
        </w:rPr>
        <w:t>RVd</w:t>
      </w:r>
      <w:proofErr w:type="spellEnd"/>
      <w:r w:rsidRPr="003F6E7A">
        <w:rPr>
          <w:rFonts w:ascii="Times New Roman" w:eastAsia="宋体" w:hAnsi="Times New Roman" w:cs="Times New Roman"/>
          <w:b/>
          <w:bCs/>
          <w:kern w:val="0"/>
          <w:sz w:val="24"/>
          <w:szCs w:val="24"/>
          <w14:ligatures w14:val="none"/>
        </w:rPr>
        <w:t xml:space="preserve"> in GRIFFIN.</w:t>
      </w:r>
    </w:p>
    <w:p w14:paraId="26737EAF" w14:textId="77777777" w:rsidR="003F6E7A" w:rsidRPr="003F6E7A" w:rsidRDefault="003F6E7A" w:rsidP="003F6E7A">
      <w:pPr>
        <w:widowControl/>
        <w:jc w:val="right"/>
        <w:rPr>
          <w:rFonts w:ascii="Times New Roman" w:eastAsia="宋体" w:hAnsi="Times New Roman" w:cs="Times New Roman"/>
          <w:kern w:val="0"/>
          <w:sz w:val="24"/>
          <w:szCs w:val="24"/>
          <w14:ligatures w14:val="none"/>
        </w:rPr>
      </w:pPr>
      <w:hyperlink r:id="rId45" w:history="1">
        <w:r w:rsidRPr="003F6E7A">
          <w:rPr>
            <w:rFonts w:ascii="Times New Roman" w:eastAsia="宋体" w:hAnsi="Times New Roman" w:cs="Times New Roman"/>
            <w:b/>
            <w:bCs/>
            <w:color w:val="006699"/>
            <w:kern w:val="0"/>
            <w:sz w:val="24"/>
            <w:szCs w:val="24"/>
            <w:bdr w:val="single" w:sz="24" w:space="6" w:color="BCD2DC" w:frame="1"/>
            <w:shd w:val="clear" w:color="auto" w:fill="FFFFFF"/>
            <w14:ligatures w14:val="none"/>
          </w:rPr>
          <w:t>Full size table</w:t>
        </w:r>
      </w:hyperlink>
    </w:p>
    <w:p w14:paraId="37CFD884" w14:textId="77777777" w:rsidR="003F6E7A" w:rsidRPr="003F6E7A" w:rsidRDefault="003F6E7A" w:rsidP="003F6E7A">
      <w:pPr>
        <w:widowControl/>
        <w:jc w:val="left"/>
        <w:rPr>
          <w:rFonts w:ascii="Times New Roman" w:eastAsia="宋体" w:hAnsi="Times New Roman" w:cs="Times New Roman"/>
          <w:kern w:val="0"/>
          <w:sz w:val="24"/>
          <w:szCs w:val="24"/>
          <w14:ligatures w14:val="none"/>
        </w:rPr>
      </w:pPr>
      <w:r w:rsidRPr="003F6E7A">
        <w:rPr>
          <w:rFonts w:ascii="Times New Roman" w:eastAsia="宋体" w:hAnsi="Times New Roman" w:cs="Times New Roman"/>
          <w:kern w:val="0"/>
          <w:sz w:val="24"/>
          <w:szCs w:val="24"/>
          <w14:ligatures w14:val="none"/>
        </w:rPr>
        <w:t>PFS rates in MASTER and GRIFFIN were superior for patients with 0 or 1 HRCA compared with ≥2 HRCAs (Fig. </w:t>
      </w:r>
      <w:hyperlink r:id="rId46" w:anchor="Fig2" w:history="1">
        <w:r w:rsidRPr="003F6E7A">
          <w:rPr>
            <w:rFonts w:ascii="Times New Roman" w:eastAsia="宋体" w:hAnsi="Times New Roman" w:cs="Times New Roman"/>
            <w:color w:val="006699"/>
            <w:kern w:val="0"/>
            <w:sz w:val="24"/>
            <w:szCs w:val="24"/>
            <w:u w:val="single"/>
            <w14:ligatures w14:val="none"/>
          </w:rPr>
          <w:t>2</w:t>
        </w:r>
      </w:hyperlink>
      <w:r w:rsidRPr="003F6E7A">
        <w:rPr>
          <w:rFonts w:ascii="Times New Roman" w:eastAsia="宋体" w:hAnsi="Times New Roman" w:cs="Times New Roman"/>
          <w:kern w:val="0"/>
          <w:sz w:val="24"/>
          <w:szCs w:val="24"/>
          <w14:ligatures w14:val="none"/>
        </w:rPr>
        <w:t>). In MASTER, at a median follow-up of 31.1 months, estimated 24-month PFS rates for D-</w:t>
      </w:r>
      <w:proofErr w:type="spellStart"/>
      <w:r w:rsidRPr="003F6E7A">
        <w:rPr>
          <w:rFonts w:ascii="Times New Roman" w:eastAsia="宋体" w:hAnsi="Times New Roman" w:cs="Times New Roman"/>
          <w:kern w:val="0"/>
          <w:sz w:val="24"/>
          <w:szCs w:val="24"/>
          <w14:ligatures w14:val="none"/>
        </w:rPr>
        <w:t>KRd</w:t>
      </w:r>
      <w:proofErr w:type="spellEnd"/>
      <w:r w:rsidRPr="003F6E7A">
        <w:rPr>
          <w:rFonts w:ascii="Times New Roman" w:eastAsia="宋体" w:hAnsi="Times New Roman" w:cs="Times New Roman"/>
          <w:kern w:val="0"/>
          <w:sz w:val="24"/>
          <w:szCs w:val="24"/>
          <w14:ligatures w14:val="none"/>
        </w:rPr>
        <w:t xml:space="preserve"> patients were 92.4%, 95.7%, and 65.5% for 0, 1, or ≥2 HRCAs, respectively, and estimated 36-month rates were 89.9%, 86.2%, and 52.4%. In GRIFFIN, PFS analyses were conducted for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in a combined analysis of randomized patients (median follow-up at final analysis among all randomized patients, 49.6 months) and among patients from the safety run-in phase (median follow-up, 59.5 months). Estimated 36-month rates for all D-</w:t>
      </w:r>
      <w:proofErr w:type="spellStart"/>
      <w:r w:rsidRPr="003F6E7A">
        <w:rPr>
          <w:rFonts w:ascii="Times New Roman" w:eastAsia="宋体" w:hAnsi="Times New Roman" w:cs="Times New Roman"/>
          <w:kern w:val="0"/>
          <w:sz w:val="24"/>
          <w:szCs w:val="24"/>
          <w14:ligatures w14:val="none"/>
        </w:rPr>
        <w:t>RVd</w:t>
      </w:r>
      <w:proofErr w:type="spellEnd"/>
      <w:r w:rsidRPr="003F6E7A">
        <w:rPr>
          <w:rFonts w:ascii="Times New Roman" w:eastAsia="宋体" w:hAnsi="Times New Roman" w:cs="Times New Roman"/>
          <w:kern w:val="0"/>
          <w:sz w:val="24"/>
          <w:szCs w:val="24"/>
          <w14:ligatures w14:val="none"/>
        </w:rPr>
        <w:t xml:space="preserve"> patients were 96.7%, 90.5%, and 53.5% for 0, 1, or ≥2 HRCAs, respectively, and estimated 48-month PFS rates were 93.7%, 90.5%, and 53.5%.</w:t>
      </w:r>
    </w:p>
    <w:p w14:paraId="18B253A2" w14:textId="77777777" w:rsidR="00096C57" w:rsidRPr="003F6E7A" w:rsidRDefault="00096C57">
      <w:pPr>
        <w:rPr>
          <w:rFonts w:ascii="Times New Roman" w:hAnsi="Times New Roman" w:cs="Times New Roman"/>
        </w:rPr>
      </w:pPr>
    </w:p>
    <w:sectPr w:rsidR="00096C57" w:rsidRPr="003F6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57"/>
    <w:rsid w:val="00096C57"/>
    <w:rsid w:val="003F6E7A"/>
    <w:rsid w:val="0091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D0BE"/>
  <w15:chartTrackingRefBased/>
  <w15:docId w15:val="{A05B3531-7970-470C-BEAE-0094E9FA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F6E7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3F6E7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6E7A"/>
    <w:rPr>
      <w:rFonts w:ascii="宋体" w:eastAsia="宋体" w:hAnsi="宋体" w:cs="宋体"/>
      <w:b/>
      <w:bCs/>
      <w:kern w:val="0"/>
      <w:sz w:val="36"/>
      <w:szCs w:val="36"/>
      <w14:ligatures w14:val="none"/>
    </w:rPr>
  </w:style>
  <w:style w:type="character" w:customStyle="1" w:styleId="30">
    <w:name w:val="标题 3 字符"/>
    <w:basedOn w:val="a0"/>
    <w:link w:val="3"/>
    <w:uiPriority w:val="9"/>
    <w:rsid w:val="003F6E7A"/>
    <w:rPr>
      <w:rFonts w:ascii="宋体" w:eastAsia="宋体" w:hAnsi="宋体" w:cs="宋体"/>
      <w:b/>
      <w:bCs/>
      <w:kern w:val="0"/>
      <w:sz w:val="27"/>
      <w:szCs w:val="27"/>
      <w14:ligatures w14:val="none"/>
    </w:rPr>
  </w:style>
  <w:style w:type="paragraph" w:styleId="a3">
    <w:name w:val="Normal (Web)"/>
    <w:basedOn w:val="a"/>
    <w:uiPriority w:val="99"/>
    <w:semiHidden/>
    <w:unhideWhenUsed/>
    <w:rsid w:val="003F6E7A"/>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3F6E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580332">
      <w:bodyDiv w:val="1"/>
      <w:marLeft w:val="0"/>
      <w:marRight w:val="0"/>
      <w:marTop w:val="0"/>
      <w:marBottom w:val="0"/>
      <w:divBdr>
        <w:top w:val="none" w:sz="0" w:space="0" w:color="auto"/>
        <w:left w:val="none" w:sz="0" w:space="0" w:color="auto"/>
        <w:bottom w:val="none" w:sz="0" w:space="0" w:color="auto"/>
        <w:right w:val="none" w:sz="0" w:space="0" w:color="auto"/>
      </w:divBdr>
      <w:divsChild>
        <w:div w:id="218516381">
          <w:marLeft w:val="0"/>
          <w:marRight w:val="0"/>
          <w:marTop w:val="0"/>
          <w:marBottom w:val="0"/>
          <w:divBdr>
            <w:top w:val="none" w:sz="0" w:space="0" w:color="auto"/>
            <w:left w:val="none" w:sz="0" w:space="0" w:color="auto"/>
            <w:bottom w:val="none" w:sz="0" w:space="0" w:color="auto"/>
            <w:right w:val="none" w:sz="0" w:space="0" w:color="auto"/>
          </w:divBdr>
          <w:divsChild>
            <w:div w:id="2035616155">
              <w:marLeft w:val="0"/>
              <w:marRight w:val="0"/>
              <w:marTop w:val="0"/>
              <w:marBottom w:val="600"/>
              <w:divBdr>
                <w:top w:val="none" w:sz="0" w:space="0" w:color="auto"/>
                <w:left w:val="none" w:sz="0" w:space="0" w:color="auto"/>
                <w:bottom w:val="none" w:sz="0" w:space="0" w:color="auto"/>
                <w:right w:val="none" w:sz="0" w:space="0" w:color="auto"/>
              </w:divBdr>
            </w:div>
          </w:divsChild>
        </w:div>
        <w:div w:id="1311053114">
          <w:marLeft w:val="0"/>
          <w:marRight w:val="0"/>
          <w:marTop w:val="0"/>
          <w:marBottom w:val="0"/>
          <w:divBdr>
            <w:top w:val="none" w:sz="0" w:space="0" w:color="auto"/>
            <w:left w:val="none" w:sz="0" w:space="0" w:color="auto"/>
            <w:bottom w:val="none" w:sz="0" w:space="0" w:color="auto"/>
            <w:right w:val="none" w:sz="0" w:space="0" w:color="auto"/>
          </w:divBdr>
          <w:divsChild>
            <w:div w:id="1872566222">
              <w:marLeft w:val="0"/>
              <w:marRight w:val="0"/>
              <w:marTop w:val="0"/>
              <w:marBottom w:val="600"/>
              <w:divBdr>
                <w:top w:val="none" w:sz="0" w:space="0" w:color="auto"/>
                <w:left w:val="none" w:sz="0" w:space="0" w:color="auto"/>
                <w:bottom w:val="none" w:sz="0" w:space="0" w:color="auto"/>
                <w:right w:val="none" w:sz="0" w:space="0" w:color="auto"/>
              </w:divBdr>
            </w:div>
          </w:divsChild>
        </w:div>
        <w:div w:id="551574614">
          <w:marLeft w:val="0"/>
          <w:marRight w:val="0"/>
          <w:marTop w:val="0"/>
          <w:marBottom w:val="0"/>
          <w:divBdr>
            <w:top w:val="none" w:sz="0" w:space="0" w:color="auto"/>
            <w:left w:val="none" w:sz="0" w:space="0" w:color="auto"/>
            <w:bottom w:val="none" w:sz="0" w:space="0" w:color="auto"/>
            <w:right w:val="none" w:sz="0" w:space="0" w:color="auto"/>
          </w:divBdr>
          <w:divsChild>
            <w:div w:id="587033178">
              <w:marLeft w:val="0"/>
              <w:marRight w:val="0"/>
              <w:marTop w:val="0"/>
              <w:marBottom w:val="600"/>
              <w:divBdr>
                <w:top w:val="none" w:sz="0" w:space="0" w:color="auto"/>
                <w:left w:val="none" w:sz="0" w:space="0" w:color="auto"/>
                <w:bottom w:val="none" w:sz="0" w:space="0" w:color="auto"/>
                <w:right w:val="none" w:sz="0" w:space="0" w:color="auto"/>
              </w:divBdr>
              <w:divsChild>
                <w:div w:id="1874421078">
                  <w:marLeft w:val="0"/>
                  <w:marRight w:val="0"/>
                  <w:marTop w:val="0"/>
                  <w:marBottom w:val="360"/>
                  <w:divBdr>
                    <w:top w:val="single" w:sz="12" w:space="15" w:color="D5D5D5"/>
                    <w:left w:val="single" w:sz="12" w:space="8" w:color="D5D5D5"/>
                    <w:bottom w:val="single" w:sz="12" w:space="15" w:color="D5D5D5"/>
                    <w:right w:val="single" w:sz="12" w:space="8" w:color="D5D5D5"/>
                  </w:divBdr>
                </w:div>
                <w:div w:id="1151869643">
                  <w:marLeft w:val="0"/>
                  <w:marRight w:val="0"/>
                  <w:marTop w:val="0"/>
                  <w:marBottom w:val="360"/>
                  <w:divBdr>
                    <w:top w:val="single" w:sz="12" w:space="15" w:color="D5D5D5"/>
                    <w:left w:val="single" w:sz="12" w:space="8" w:color="D5D5D5"/>
                    <w:bottom w:val="single" w:sz="12" w:space="15" w:color="D5D5D5"/>
                    <w:right w:val="single" w:sz="12" w:space="8" w:color="D5D5D5"/>
                  </w:divBdr>
                </w:div>
                <w:div w:id="1487474914">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926182708">
                      <w:marLeft w:val="0"/>
                      <w:marRight w:val="0"/>
                      <w:marTop w:val="0"/>
                      <w:marBottom w:val="240"/>
                      <w:divBdr>
                        <w:top w:val="none" w:sz="0" w:space="0" w:color="auto"/>
                        <w:left w:val="none" w:sz="0" w:space="0" w:color="auto"/>
                        <w:bottom w:val="none" w:sz="0" w:space="0" w:color="auto"/>
                        <w:right w:val="none" w:sz="0" w:space="0" w:color="auto"/>
                      </w:divBdr>
                      <w:divsChild>
                        <w:div w:id="1239704575">
                          <w:marLeft w:val="0"/>
                          <w:marRight w:val="0"/>
                          <w:marTop w:val="0"/>
                          <w:marBottom w:val="0"/>
                          <w:divBdr>
                            <w:top w:val="none" w:sz="0" w:space="0" w:color="auto"/>
                            <w:left w:val="none" w:sz="0" w:space="0" w:color="auto"/>
                            <w:bottom w:val="none" w:sz="0" w:space="0" w:color="auto"/>
                            <w:right w:val="none" w:sz="0" w:space="0" w:color="auto"/>
                          </w:divBdr>
                        </w:div>
                        <w:div w:id="15215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4867">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08-024-01030-w" TargetMode="External"/><Relationship Id="rId18" Type="http://schemas.openxmlformats.org/officeDocument/2006/relationships/hyperlink" Target="https://www.nature.com/articles/s41408-024-01030-w" TargetMode="External"/><Relationship Id="rId26" Type="http://schemas.openxmlformats.org/officeDocument/2006/relationships/hyperlink" Target="https://www.nature.com/articles/s41408-024-01030-w" TargetMode="External"/><Relationship Id="rId39" Type="http://schemas.openxmlformats.org/officeDocument/2006/relationships/hyperlink" Target="https://www.nature.com/articles/s41408-024-01030-w/tables/2" TargetMode="External"/><Relationship Id="rId21" Type="http://schemas.openxmlformats.org/officeDocument/2006/relationships/hyperlink" Target="https://www.nature.com/articles/s41408-024-01030-w" TargetMode="External"/><Relationship Id="rId34" Type="http://schemas.openxmlformats.org/officeDocument/2006/relationships/hyperlink" Target="https://www.nature.com/articles/s41408-024-01030-w"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hyperlink" Target="https://www.nature.com/articles/s41408-024-01030-w" TargetMode="External"/><Relationship Id="rId2" Type="http://schemas.openxmlformats.org/officeDocument/2006/relationships/settings" Target="settings.xml"/><Relationship Id="rId16" Type="http://schemas.openxmlformats.org/officeDocument/2006/relationships/hyperlink" Target="https://www.nature.com/articles/s41408-024-01030-w" TargetMode="External"/><Relationship Id="rId29" Type="http://schemas.openxmlformats.org/officeDocument/2006/relationships/hyperlink" Target="https://www.nature.com/articles/s41408-024-01030-w" TargetMode="External"/><Relationship Id="rId1" Type="http://schemas.openxmlformats.org/officeDocument/2006/relationships/styles" Target="styles.xml"/><Relationship Id="rId6" Type="http://schemas.openxmlformats.org/officeDocument/2006/relationships/hyperlink" Target="https://www.nature.com/articles/s41408-024-01030-w" TargetMode="External"/><Relationship Id="rId11" Type="http://schemas.openxmlformats.org/officeDocument/2006/relationships/hyperlink" Target="https://www.nature.com/articles/s41408-024-01030-w" TargetMode="External"/><Relationship Id="rId24" Type="http://schemas.openxmlformats.org/officeDocument/2006/relationships/hyperlink" Target="https://www.nature.com/articles/s41408-024-01030-w" TargetMode="External"/><Relationship Id="rId32" Type="http://schemas.openxmlformats.org/officeDocument/2006/relationships/hyperlink" Target="https://www.nature.com/articles/s41408-024-01030-w" TargetMode="External"/><Relationship Id="rId37" Type="http://schemas.openxmlformats.org/officeDocument/2006/relationships/hyperlink" Target="https://www.nature.com/articles/s41408-024-01030-w" TargetMode="External"/><Relationship Id="rId40" Type="http://schemas.openxmlformats.org/officeDocument/2006/relationships/hyperlink" Target="https://www.nature.com/articles/s41408-024-01030-w" TargetMode="External"/><Relationship Id="rId45" Type="http://schemas.openxmlformats.org/officeDocument/2006/relationships/hyperlink" Target="https://www.nature.com/articles/s41408-024-01030-w/tables/3" TargetMode="External"/><Relationship Id="rId5" Type="http://schemas.openxmlformats.org/officeDocument/2006/relationships/hyperlink" Target="https://www.nature.com/articles/s41408-024-01030-w" TargetMode="External"/><Relationship Id="rId15" Type="http://schemas.openxmlformats.org/officeDocument/2006/relationships/hyperlink" Target="https://www.nature.com/articles/s41408-024-01030-w" TargetMode="External"/><Relationship Id="rId23" Type="http://schemas.openxmlformats.org/officeDocument/2006/relationships/hyperlink" Target="https://www.nature.com/articles/s41408-024-01030-w" TargetMode="External"/><Relationship Id="rId28" Type="http://schemas.openxmlformats.org/officeDocument/2006/relationships/hyperlink" Target="https://www.nature.com/articles/s41408-024-01030-w" TargetMode="External"/><Relationship Id="rId36" Type="http://schemas.openxmlformats.org/officeDocument/2006/relationships/hyperlink" Target="https://www.nature.com/articles/s41408-024-01030-w" TargetMode="External"/><Relationship Id="rId10" Type="http://schemas.openxmlformats.org/officeDocument/2006/relationships/hyperlink" Target="https://www.nature.com/articles/s41408-024-01030-w" TargetMode="External"/><Relationship Id="rId19" Type="http://schemas.openxmlformats.org/officeDocument/2006/relationships/hyperlink" Target="https://www.nature.com/articles/s41408-024-01030-w" TargetMode="External"/><Relationship Id="rId31" Type="http://schemas.openxmlformats.org/officeDocument/2006/relationships/hyperlink" Target="https://www.nature.com/articles/s41408-024-01030-w" TargetMode="External"/><Relationship Id="rId44" Type="http://schemas.openxmlformats.org/officeDocument/2006/relationships/hyperlink" Target="https://www.nature.com/articles/s41408-024-01030-w" TargetMode="External"/><Relationship Id="rId4" Type="http://schemas.openxmlformats.org/officeDocument/2006/relationships/hyperlink" Target="https://www.nature.com/articles/s41408-024-01030-w" TargetMode="External"/><Relationship Id="rId9" Type="http://schemas.openxmlformats.org/officeDocument/2006/relationships/hyperlink" Target="https://www.nature.com/articles/s41408-024-01030-w" TargetMode="External"/><Relationship Id="rId14" Type="http://schemas.openxmlformats.org/officeDocument/2006/relationships/hyperlink" Target="https://www.nature.com/articles/s41408-024-01030-w" TargetMode="External"/><Relationship Id="rId22" Type="http://schemas.openxmlformats.org/officeDocument/2006/relationships/hyperlink" Target="https://www.nature.com/articles/s41408-024-01030-w" TargetMode="External"/><Relationship Id="rId27" Type="http://schemas.openxmlformats.org/officeDocument/2006/relationships/hyperlink" Target="https://www.nature.com/articles/s41408-024-01030-w" TargetMode="External"/><Relationship Id="rId30" Type="http://schemas.openxmlformats.org/officeDocument/2006/relationships/hyperlink" Target="https://www.nature.com/articles/s41408-024-01030-w" TargetMode="External"/><Relationship Id="rId35" Type="http://schemas.openxmlformats.org/officeDocument/2006/relationships/hyperlink" Target="https://www.nature.com/articles/s41408-024-01030-w" TargetMode="External"/><Relationship Id="rId43" Type="http://schemas.openxmlformats.org/officeDocument/2006/relationships/hyperlink" Target="https://www.nature.com/articles/s41408-024-01030-w/figures/1" TargetMode="External"/><Relationship Id="rId48" Type="http://schemas.openxmlformats.org/officeDocument/2006/relationships/theme" Target="theme/theme1.xml"/><Relationship Id="rId8" Type="http://schemas.openxmlformats.org/officeDocument/2006/relationships/hyperlink" Target="https://www.nature.com/articles/s41408-024-01030-w" TargetMode="External"/><Relationship Id="rId3" Type="http://schemas.openxmlformats.org/officeDocument/2006/relationships/webSettings" Target="webSettings.xml"/><Relationship Id="rId12" Type="http://schemas.openxmlformats.org/officeDocument/2006/relationships/hyperlink" Target="https://www.nature.com/articles/s41408-024-01030-w" TargetMode="External"/><Relationship Id="rId17" Type="http://schemas.openxmlformats.org/officeDocument/2006/relationships/hyperlink" Target="https://www.nature.com/articles/s41408-024-01030-w" TargetMode="External"/><Relationship Id="rId25" Type="http://schemas.openxmlformats.org/officeDocument/2006/relationships/hyperlink" Target="https://www.nature.com/articles/s41408-024-01030-w" TargetMode="External"/><Relationship Id="rId33" Type="http://schemas.openxmlformats.org/officeDocument/2006/relationships/hyperlink" Target="https://www.nature.com/articles/s41408-024-01030-w" TargetMode="External"/><Relationship Id="rId38" Type="http://schemas.openxmlformats.org/officeDocument/2006/relationships/hyperlink" Target="https://www.nature.com/articles/s41408-024-01030-w/tables/1" TargetMode="External"/><Relationship Id="rId46" Type="http://schemas.openxmlformats.org/officeDocument/2006/relationships/hyperlink" Target="https://www.nature.com/articles/s41408-024-01030-w" TargetMode="External"/><Relationship Id="rId20" Type="http://schemas.openxmlformats.org/officeDocument/2006/relationships/hyperlink" Target="https://www.nature.com/articles/s41408-024-01030-w" TargetMode="External"/><Relationship Id="rId41" Type="http://schemas.openxmlformats.org/officeDocument/2006/relationships/hyperlink" Target="https://www.nature.com/articles/s41408-024-01030-w/figure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3819</Words>
  <Characters>21769</Characters>
  <Application>Microsoft Office Word</Application>
  <DocSecurity>0</DocSecurity>
  <Lines>181</Lines>
  <Paragraphs>51</Paragraphs>
  <ScaleCrop>false</ScaleCrop>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2</cp:revision>
  <dcterms:created xsi:type="dcterms:W3CDTF">2024-06-25T17:23:00Z</dcterms:created>
  <dcterms:modified xsi:type="dcterms:W3CDTF">2024-06-25T17:23:00Z</dcterms:modified>
</cp:coreProperties>
</file>