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D3ED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Назначение программы</w:t>
      </w:r>
    </w:p>
    <w:p w14:paraId="5BCAFB32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1.1 </w:t>
      </w:r>
      <w:r w:rsidRPr="00B837F9">
        <w:rPr>
          <w:rFonts w:ascii="Times New Roman" w:hAnsi="Times New Roman" w:cs="Times New Roman"/>
          <w:sz w:val="28"/>
          <w:szCs w:val="28"/>
        </w:rPr>
        <w:t>Функциональное назначение</w:t>
      </w:r>
    </w:p>
    <w:p w14:paraId="15138DAD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Специальное программное обеспечение используется для автоматического заполнения бухгалтерского отчёта для сотрудников компании “Тивиком”</w:t>
      </w:r>
    </w:p>
    <w:p w14:paraId="2A2ED787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</w:t>
      </w:r>
      <w:r w:rsidRPr="00B837F9">
        <w:rPr>
          <w:rFonts w:ascii="Times New Roman" w:hAnsi="Times New Roman" w:cs="Times New Roman"/>
          <w:sz w:val="28"/>
          <w:szCs w:val="28"/>
        </w:rPr>
        <w:t>Эксплуатационное назначение</w:t>
      </w:r>
    </w:p>
    <w:p w14:paraId="620F19ED" w14:textId="77777777" w:rsidR="0082768A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Специальное программное обеспечение должно эксплуатироваться на объектах любого масштаба для организации комплексной системы обеспечения безопасности объекта. Конечными пользователями программы должны являться сотрудники профильных подразделений</w:t>
      </w:r>
    </w:p>
    <w:p w14:paraId="786288AA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Условия выполнения программы</w:t>
      </w:r>
    </w:p>
    <w:p w14:paraId="7721CD5A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2.1. Минимальный состав аппаратных средств</w:t>
      </w:r>
    </w:p>
    <w:p w14:paraId="66CFEF9A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 xml:space="preserve">IBM-совместимый персональный компьютер (ПЭВМ), включающий в себя: </w:t>
      </w:r>
    </w:p>
    <w:p w14:paraId="5227D52A" w14:textId="77777777" w:rsidR="0082768A" w:rsidRPr="0009082F" w:rsidRDefault="0082768A" w:rsidP="0082768A">
      <w:pPr>
        <w:pStyle w:val="ListParagraph"/>
        <w:numPr>
          <w:ilvl w:val="0"/>
          <w:numId w:val="1"/>
        </w:numPr>
        <w:spacing w:after="0" w:line="360" w:lineRule="auto"/>
        <w:ind w:right="-142"/>
        <w:jc w:val="both"/>
        <w:rPr>
          <w:rFonts w:ascii="Times New Roman" w:hAnsi="Times New Roman"/>
          <w:sz w:val="28"/>
          <w:szCs w:val="28"/>
        </w:rPr>
      </w:pPr>
      <w:r w:rsidRPr="0009082F">
        <w:rPr>
          <w:rFonts w:ascii="Times New Roman" w:hAnsi="Times New Roman"/>
          <w:sz w:val="28"/>
          <w:szCs w:val="28"/>
        </w:rPr>
        <w:t xml:space="preserve">процессор с тактовой частотой, 2.5 ГГц, или выше; </w:t>
      </w:r>
    </w:p>
    <w:p w14:paraId="5D298D83" w14:textId="77777777" w:rsidR="0082768A" w:rsidRPr="0009082F" w:rsidRDefault="0082768A" w:rsidP="0082768A">
      <w:pPr>
        <w:pStyle w:val="ListParagraph"/>
        <w:numPr>
          <w:ilvl w:val="0"/>
          <w:numId w:val="1"/>
        </w:numPr>
        <w:spacing w:after="0" w:line="360" w:lineRule="auto"/>
        <w:ind w:right="-142"/>
        <w:jc w:val="both"/>
        <w:rPr>
          <w:rFonts w:ascii="Times New Roman" w:hAnsi="Times New Roman"/>
          <w:sz w:val="28"/>
          <w:szCs w:val="28"/>
        </w:rPr>
      </w:pPr>
      <w:r w:rsidRPr="0009082F">
        <w:rPr>
          <w:rFonts w:ascii="Times New Roman" w:hAnsi="Times New Roman"/>
          <w:sz w:val="28"/>
          <w:szCs w:val="28"/>
        </w:rPr>
        <w:t xml:space="preserve">оперативную память объемом, 2 Гб, или выше; </w:t>
      </w:r>
    </w:p>
    <w:p w14:paraId="1E26D1F4" w14:textId="77777777" w:rsidR="0082768A" w:rsidRPr="0009082F" w:rsidRDefault="0082768A" w:rsidP="0082768A">
      <w:pPr>
        <w:pStyle w:val="ListParagraph"/>
        <w:numPr>
          <w:ilvl w:val="0"/>
          <w:numId w:val="1"/>
        </w:numPr>
        <w:spacing w:after="0" w:line="360" w:lineRule="auto"/>
        <w:ind w:right="-142"/>
        <w:jc w:val="both"/>
        <w:rPr>
          <w:rFonts w:ascii="Times New Roman" w:hAnsi="Times New Roman"/>
          <w:sz w:val="28"/>
          <w:szCs w:val="28"/>
        </w:rPr>
      </w:pPr>
      <w:r w:rsidRPr="0009082F">
        <w:rPr>
          <w:rFonts w:ascii="Times New Roman" w:hAnsi="Times New Roman"/>
          <w:sz w:val="28"/>
          <w:szCs w:val="28"/>
        </w:rPr>
        <w:t xml:space="preserve">жесткий диск объемом 128 Гб, и выше; </w:t>
      </w:r>
    </w:p>
    <w:p w14:paraId="52513EAD" w14:textId="77777777" w:rsidR="0082768A" w:rsidRPr="0009082F" w:rsidRDefault="0082768A" w:rsidP="0082768A">
      <w:pPr>
        <w:pStyle w:val="ListParagraph"/>
        <w:numPr>
          <w:ilvl w:val="0"/>
          <w:numId w:val="1"/>
        </w:numPr>
        <w:spacing w:after="0" w:line="360" w:lineRule="auto"/>
        <w:ind w:right="-142"/>
        <w:jc w:val="both"/>
        <w:rPr>
          <w:rFonts w:ascii="Times New Roman" w:hAnsi="Times New Roman"/>
          <w:sz w:val="28"/>
          <w:szCs w:val="28"/>
        </w:rPr>
      </w:pPr>
      <w:r w:rsidRPr="0009082F">
        <w:rPr>
          <w:rFonts w:ascii="Times New Roman" w:hAnsi="Times New Roman"/>
          <w:sz w:val="28"/>
          <w:szCs w:val="28"/>
        </w:rPr>
        <w:t xml:space="preserve">графический адаптер: графическое устройство Microsoft DirectX 9; </w:t>
      </w:r>
    </w:p>
    <w:p w14:paraId="11DE662A" w14:textId="77777777" w:rsidR="0082768A" w:rsidRPr="0009082F" w:rsidRDefault="0082768A" w:rsidP="0082768A">
      <w:pPr>
        <w:pStyle w:val="ListParagraph"/>
        <w:numPr>
          <w:ilvl w:val="0"/>
          <w:numId w:val="1"/>
        </w:numPr>
        <w:spacing w:after="0" w:line="360" w:lineRule="auto"/>
        <w:ind w:right="-142"/>
        <w:jc w:val="both"/>
        <w:rPr>
          <w:rFonts w:ascii="Times New Roman" w:hAnsi="Times New Roman"/>
          <w:sz w:val="28"/>
          <w:szCs w:val="28"/>
        </w:rPr>
      </w:pPr>
      <w:r w:rsidRPr="0009082F">
        <w:rPr>
          <w:rFonts w:ascii="Times New Roman" w:hAnsi="Times New Roman"/>
          <w:sz w:val="28"/>
          <w:szCs w:val="28"/>
        </w:rPr>
        <w:t>монитор с разрешением экрана не менее 1920 x 1080 пикселей.</w:t>
      </w:r>
    </w:p>
    <w:p w14:paraId="1C0221A4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2.2. Минимальный состав программных средств</w:t>
      </w:r>
    </w:p>
    <w:p w14:paraId="18D155E4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специальным программным обеспечением «Синергет КСБО», должны быть представлены локализованной версией операционной системы семейства Linux. </w:t>
      </w:r>
    </w:p>
    <w:p w14:paraId="31D8BFFB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2.3. Требования к персоналу (пользователю)</w:t>
      </w:r>
    </w:p>
    <w:p w14:paraId="6349C3D8" w14:textId="77777777" w:rsidR="0082768A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системы, должен быть аттестован минимум на II квалификационную группу по электробезопасности, иметь квалификацию «Пользователь ЭВМ».</w:t>
      </w:r>
    </w:p>
    <w:p w14:paraId="5ED84E03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EB1022" w14:textId="2B2C557C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B837F9"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14:paraId="17D6B9F4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3.1 Загрузка и запуск программы</w:t>
      </w:r>
    </w:p>
    <w:p w14:paraId="23A871B3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Запустите программу, TVCOM откроется окно входа (рис. 3.1):</w:t>
      </w:r>
    </w:p>
    <w:p w14:paraId="101EB260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EB95E9" wp14:editId="5FE2F7B1">
            <wp:extent cx="2683823" cy="3131127"/>
            <wp:effectExtent l="0" t="0" r="2540" b="0"/>
            <wp:docPr id="376756853" name="Picture 376756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908" cy="315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DD842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Окно входа</w:t>
      </w:r>
    </w:p>
    <w:p w14:paraId="1C4E051D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 открывшемся окне можно сразу ввести логин и пароль и войти в систему или если вы не зарегистрированы в системе нажать на кнопку “Зарегистрироваться” и перейти в окно регистрации (рис. 3.2)</w:t>
      </w:r>
    </w:p>
    <w:p w14:paraId="7826F8A8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4523C2" wp14:editId="747996E0">
            <wp:extent cx="2671948" cy="346030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1198" cy="34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3E0B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Окно регистрации</w:t>
      </w:r>
    </w:p>
    <w:p w14:paraId="453EECF5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lastRenderedPageBreak/>
        <w:t>При вводе всех данных и нажатии на кнопку “Зарегистрироваться” вы переходите в окно логина.</w:t>
      </w:r>
    </w:p>
    <w:p w14:paraId="1A155F5A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При входе в систему открывается основное меню программы(рис. 3.3)</w:t>
      </w:r>
    </w:p>
    <w:p w14:paraId="40F7CC33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9E0190" wp14:editId="03AEEAA0">
            <wp:extent cx="4943475" cy="2617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617" cy="262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8575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Меню программы</w:t>
      </w:r>
    </w:p>
    <w:p w14:paraId="2149DDE8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Внизу основного окна есть 3 выдвижных списка, в которых будет выбираться дата работы. Важно отметить, что сначала нужно выбрать месяц в среднем списке, чтобы отобразились числа в списке слева.</w:t>
      </w:r>
    </w:p>
    <w:p w14:paraId="29D2BF43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Кнопка “Заполнить данные” подразумевает заполнение данных в базу данных, привязанной к этой программе.</w:t>
      </w:r>
    </w:p>
    <w:p w14:paraId="150026BD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BB299" wp14:editId="06AF7373">
            <wp:extent cx="2904762" cy="30190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AD962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3.4 Выдвижное меню</w:t>
      </w:r>
    </w:p>
    <w:p w14:paraId="03D24B56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Справа есть выдвижное меню (рис. 3.4) В котором есть ещё 3 кнопки:</w:t>
      </w:r>
    </w:p>
    <w:p w14:paraId="35A0E7B4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lastRenderedPageBreak/>
        <w:t>Вывести общий отчёт. При нажатии на кнопку выводится меню, в котором нужно выбрать дату начала отчёта и конца отчёта</w:t>
      </w:r>
    </w:p>
    <w:p w14:paraId="78E5A679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Вывести должностной отчёт. Аналогично с общим отчётом, но добавляется список с должностями.</w:t>
      </w:r>
    </w:p>
    <w:p w14:paraId="1D30781B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Вывести личный отчёт. Аналогично с общим отчётом выбрать даты начала и конца отчёта</w:t>
      </w:r>
    </w:p>
    <w:p w14:paraId="677C58EE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3.2 Выполнение программы</w:t>
      </w:r>
    </w:p>
    <w:p w14:paraId="286C9A59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3.2.1 Заполнение данных в базу</w:t>
      </w:r>
    </w:p>
    <w:p w14:paraId="696A13C8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 основное меню необходимо перетащить файлы из проводника, чтобы вывести список(рис. 3.5)</w:t>
      </w:r>
    </w:p>
    <w:p w14:paraId="2585DC7D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CAA6B" wp14:editId="795281B7">
            <wp:extent cx="5940425" cy="3098800"/>
            <wp:effectExtent l="0" t="0" r="317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726A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Меню с списком</w:t>
      </w:r>
    </w:p>
    <w:p w14:paraId="10FA1F88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Через список снизу необходимо выбрать дату, в которую эти работы были сделаны.</w:t>
      </w:r>
    </w:p>
    <w:p w14:paraId="669861C5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 списке необходимо выбрать тип работы (рис. 3.6) и выбрать бонусы(или штраф) при их наличии</w:t>
      </w:r>
    </w:p>
    <w:p w14:paraId="7EEBB9B3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47482F" wp14:editId="62A912E8">
            <wp:extent cx="5940425" cy="8775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00E3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3.6 Список с выбором типа работ</w:t>
      </w:r>
    </w:p>
    <w:p w14:paraId="166EDDDB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lastRenderedPageBreak/>
        <w:t>После чего нужно нажать на кнопку “Заполнить данные” и данные сохранятся.</w:t>
      </w:r>
    </w:p>
    <w:p w14:paraId="3641E8C9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3.2.2 Вывод данных в таблицу EXCEL</w:t>
      </w:r>
    </w:p>
    <w:p w14:paraId="198C32C6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3.2.2.1 Вывод общего и личного отчёта</w:t>
      </w:r>
    </w:p>
    <w:p w14:paraId="3284A1E8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При нажатии на кнопку “Вывести общий отчёт” или “Вывести личный отчёт” выводится меню, в котором нужно выбрать даты начала и конца отчёта(рис 3.7)</w:t>
      </w:r>
    </w:p>
    <w:p w14:paraId="2544222A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473469" wp14:editId="45B269B9">
            <wp:extent cx="2663719" cy="3086100"/>
            <wp:effectExtent l="0" t="0" r="3810" b="0"/>
            <wp:docPr id="376756854" name="Picture 376756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9022" cy="3092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79C7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3.7 Окно отчёта</w:t>
      </w:r>
    </w:p>
    <w:p w14:paraId="354F9CF0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После выбора дат и нажатии на кнопку “Вывести общий отчёт” выводится окно сохранения документа(рис. 3.8)</w:t>
      </w:r>
    </w:p>
    <w:p w14:paraId="4A446E44" w14:textId="77777777" w:rsidR="0082768A" w:rsidRDefault="0082768A" w:rsidP="008276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8EC648" wp14:editId="48599D76">
            <wp:extent cx="4714504" cy="2652824"/>
            <wp:effectExtent l="0" t="0" r="0" b="0"/>
            <wp:docPr id="376756855" name="Picture 376756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1758" cy="266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00B1" w14:textId="77777777" w:rsidR="0082768A" w:rsidRPr="00B837F9" w:rsidRDefault="0082768A" w:rsidP="0082768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3.8 Сохранение документа</w:t>
      </w:r>
    </w:p>
    <w:p w14:paraId="44F265E9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lastRenderedPageBreak/>
        <w:t>После сохранения документ можно использовать.</w:t>
      </w:r>
    </w:p>
    <w:p w14:paraId="223C6CCB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3.2.2.2 Вывод должностного отчёта</w:t>
      </w:r>
    </w:p>
    <w:p w14:paraId="032676B9" w14:textId="77777777" w:rsidR="0082768A" w:rsidRPr="00B837F9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Вывод такого типа отчёта аналогичен, но в меню присутствует список, в котором необходимо выбрать должность, по которой нужно вывести список(рис. 3.9)</w:t>
      </w:r>
    </w:p>
    <w:p w14:paraId="75A55BEA" w14:textId="77777777" w:rsidR="0082768A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FA8186" wp14:editId="1547BA5D">
            <wp:extent cx="2752725" cy="3211512"/>
            <wp:effectExtent l="0" t="0" r="0" b="8255"/>
            <wp:docPr id="376756856" name="Picture 3767568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724" cy="321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40F80" w14:textId="77777777" w:rsidR="0082768A" w:rsidRPr="00B837F9" w:rsidRDefault="0082768A" w:rsidP="008276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3.9 Окно должностного отчёта</w:t>
      </w:r>
    </w:p>
    <w:p w14:paraId="73939D34" w14:textId="77777777" w:rsidR="0082768A" w:rsidRDefault="0082768A" w:rsidP="008276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837F9">
        <w:rPr>
          <w:rFonts w:ascii="Times New Roman" w:hAnsi="Times New Roman" w:cs="Times New Roman"/>
          <w:sz w:val="28"/>
          <w:szCs w:val="28"/>
        </w:rPr>
        <w:t>При нажатии на кнопку “Вывести общий отчёт” происходит аналогично пункту, описанный выше</w:t>
      </w:r>
    </w:p>
    <w:p w14:paraId="0102CFD4" w14:textId="77777777" w:rsidR="0082768A" w:rsidRDefault="0082768A" w:rsidP="008276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36E2E" w14:textId="77777777" w:rsidR="00810BB9" w:rsidRDefault="00810BB9"/>
    <w:sectPr w:rsidR="00810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27F33"/>
    <w:multiLevelType w:val="hybridMultilevel"/>
    <w:tmpl w:val="1EB8F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68A"/>
    <w:rsid w:val="00810BB9"/>
    <w:rsid w:val="0082768A"/>
    <w:rsid w:val="00CF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5E14"/>
  <w15:chartTrackingRefBased/>
  <w15:docId w15:val="{2B34C800-661D-4827-9B56-93A87870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2768A"/>
  </w:style>
  <w:style w:type="paragraph" w:styleId="Heading1">
    <w:name w:val="heading 1"/>
    <w:basedOn w:val="Normal"/>
    <w:link w:val="Heading1Char"/>
    <w:uiPriority w:val="9"/>
    <w:qFormat/>
    <w:rsid w:val="00CF3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9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Strong">
    <w:name w:val="Strong"/>
    <w:basedOn w:val="DefaultParagraphFont"/>
    <w:uiPriority w:val="22"/>
    <w:qFormat/>
    <w:rsid w:val="00CF398F"/>
    <w:rPr>
      <w:b/>
      <w:bCs/>
    </w:rPr>
  </w:style>
  <w:style w:type="paragraph" w:styleId="ListParagraph">
    <w:name w:val="List Paragraph"/>
    <w:basedOn w:val="Normal"/>
    <w:uiPriority w:val="34"/>
    <w:qFormat/>
    <w:rsid w:val="00CF398F"/>
    <w:pPr>
      <w:spacing w:after="200" w:line="276" w:lineRule="auto"/>
      <w:ind w:left="720"/>
      <w:contextualSpacing/>
    </w:pPr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2024-06-19T06:50:00Z</dcterms:created>
  <dcterms:modified xsi:type="dcterms:W3CDTF">2024-06-19T06:51:00Z</dcterms:modified>
</cp:coreProperties>
</file>