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BB683" w14:textId="77777777" w:rsidR="0037285A" w:rsidRDefault="0073327E">
      <w:pPr>
        <w:pStyle w:val="Heading1"/>
      </w:pPr>
      <w:r>
        <w:t>Key Data Points for FATF Risk-Based Approach Implementation</w:t>
      </w:r>
    </w:p>
    <w:p w14:paraId="2F5FA332" w14:textId="77777777" w:rsidR="0037285A" w:rsidRDefault="0073327E">
      <w:pPr>
        <w:pStyle w:val="Heading2"/>
      </w:pPr>
      <w:r>
        <w:t>1. Customer Identification Data</w:t>
      </w:r>
    </w:p>
    <w:p w14:paraId="22731618" w14:textId="77777777" w:rsidR="0037285A" w:rsidRDefault="0073327E">
      <w:pPr>
        <w:pStyle w:val="ListBullet"/>
      </w:pPr>
      <w:r>
        <w:t>- Personal Information: Full name, date of birth, nationality, and residence details.</w:t>
      </w:r>
    </w:p>
    <w:p w14:paraId="1B700848" w14:textId="77777777" w:rsidR="0037285A" w:rsidRDefault="0073327E">
      <w:pPr>
        <w:pStyle w:val="ListBullet"/>
      </w:pPr>
      <w:r>
        <w:t xml:space="preserve">- Business Information (for corporate clients): Registered name, </w:t>
      </w:r>
      <w:r>
        <w:t>business type, country of incorporation, and ownership structure.</w:t>
      </w:r>
    </w:p>
    <w:p w14:paraId="0B8431E8" w14:textId="77777777" w:rsidR="0037285A" w:rsidRDefault="0073327E">
      <w:pPr>
        <w:pStyle w:val="ListBullet"/>
      </w:pPr>
      <w:r>
        <w:t>- Beneficial Ownership: Identifying individuals with significant control over the entity.</w:t>
      </w:r>
    </w:p>
    <w:p w14:paraId="62BBD2B4" w14:textId="77777777" w:rsidR="0037285A" w:rsidRDefault="0073327E">
      <w:pPr>
        <w:pStyle w:val="ListBullet"/>
      </w:pPr>
      <w:r>
        <w:t>- Politically Exposed Person (PEP) Status: PEP classification of customers and their immediate family or associates.</w:t>
      </w:r>
    </w:p>
    <w:p w14:paraId="7CEE106A" w14:textId="77777777" w:rsidR="0037285A" w:rsidRDefault="0073327E">
      <w:pPr>
        <w:pStyle w:val="Heading2"/>
      </w:pPr>
      <w:r>
        <w:t>2. Geographic and Country Data</w:t>
      </w:r>
    </w:p>
    <w:p w14:paraId="7A6C9813" w14:textId="77777777" w:rsidR="0037285A" w:rsidRDefault="0073327E">
      <w:pPr>
        <w:pStyle w:val="ListBullet"/>
      </w:pPr>
      <w:r>
        <w:t>- Country of Residence or Operation: Key for assessing country-specific risks based on FATF lists and other AML/CFT guidance.</w:t>
      </w:r>
    </w:p>
    <w:p w14:paraId="64079F24" w14:textId="77777777" w:rsidR="0037285A" w:rsidRDefault="0073327E">
      <w:pPr>
        <w:pStyle w:val="ListBullet"/>
      </w:pPr>
      <w:r>
        <w:t>- Geographic Locations of Transactions: Identifying cross-border transactions, especially with high-risk jurisdictions.</w:t>
      </w:r>
    </w:p>
    <w:p w14:paraId="49B89269" w14:textId="77777777" w:rsidR="0037285A" w:rsidRDefault="0073327E">
      <w:pPr>
        <w:pStyle w:val="ListBullet"/>
      </w:pPr>
      <w:r>
        <w:t>- Country Risk Rating: Informed by sanctions lists, corruption indices, and AML/CFT regulations.</w:t>
      </w:r>
    </w:p>
    <w:p w14:paraId="7406DAA0" w14:textId="77777777" w:rsidR="0037285A" w:rsidRDefault="0073327E">
      <w:pPr>
        <w:pStyle w:val="Heading2"/>
      </w:pPr>
      <w:r>
        <w:t>3. Transactional Data</w:t>
      </w:r>
    </w:p>
    <w:p w14:paraId="5E6FAE82" w14:textId="77777777" w:rsidR="0037285A" w:rsidRDefault="0073327E">
      <w:pPr>
        <w:pStyle w:val="ListBullet"/>
      </w:pPr>
      <w:r>
        <w:t>- Transaction Volume and Frequency: Patterns and trends that could indicate abnormal activity.</w:t>
      </w:r>
    </w:p>
    <w:p w14:paraId="3C806973" w14:textId="77777777" w:rsidR="0037285A" w:rsidRDefault="0073327E">
      <w:pPr>
        <w:pStyle w:val="ListBullet"/>
      </w:pPr>
      <w:r>
        <w:t>- Transaction Types: Cash deposits, international wire transfers, high-value transactions, or unusual transaction methods.</w:t>
      </w:r>
    </w:p>
    <w:p w14:paraId="47176914" w14:textId="77777777" w:rsidR="0037285A" w:rsidRDefault="0073327E">
      <w:pPr>
        <w:pStyle w:val="ListBullet"/>
      </w:pPr>
      <w:r>
        <w:t>- Transaction Amounts: Especially significant amounts inconsistent with the customer's profile or business type.</w:t>
      </w:r>
    </w:p>
    <w:p w14:paraId="4ED75F35" w14:textId="77777777" w:rsidR="0037285A" w:rsidRDefault="0073327E">
      <w:pPr>
        <w:pStyle w:val="ListBullet"/>
      </w:pPr>
      <w:r>
        <w:t>- Destination and Source of Funds: Countries, individuals, or institutions involved in transactions, particularly if located in or linked to high-risk regions.</w:t>
      </w:r>
    </w:p>
    <w:p w14:paraId="02AA6D46" w14:textId="77777777" w:rsidR="0037285A" w:rsidRDefault="0073327E">
      <w:pPr>
        <w:pStyle w:val="Heading2"/>
      </w:pPr>
      <w:r>
        <w:t>4. Customer Profile and Behavior</w:t>
      </w:r>
    </w:p>
    <w:p w14:paraId="01CBB715" w14:textId="77777777" w:rsidR="0037285A" w:rsidRDefault="0073327E">
      <w:pPr>
        <w:pStyle w:val="ListBullet"/>
      </w:pPr>
      <w:r>
        <w:t>- Customer Type: Categorizing customers by risk type (e.g., high-cash businesses, non-profit organizations, individual vs. corporate).</w:t>
      </w:r>
    </w:p>
    <w:p w14:paraId="17CD0689" w14:textId="77777777" w:rsidR="0037285A" w:rsidRDefault="0073327E">
      <w:pPr>
        <w:pStyle w:val="ListBullet"/>
      </w:pPr>
      <w:r>
        <w:t>- Account Activity Patterns: Normal vs. abnormal transaction patterns for the customer's profile.</w:t>
      </w:r>
    </w:p>
    <w:p w14:paraId="0079CD57" w14:textId="77777777" w:rsidR="0037285A" w:rsidRDefault="0073327E">
      <w:pPr>
        <w:pStyle w:val="ListBullet"/>
      </w:pPr>
      <w:r>
        <w:t>- Changes in Behavior: Sudden increases in transaction volume, changes in geographical transaction patterns, or new, unexplained account activities.</w:t>
      </w:r>
    </w:p>
    <w:p w14:paraId="70555C79" w14:textId="77777777" w:rsidR="0037285A" w:rsidRDefault="0073327E">
      <w:pPr>
        <w:pStyle w:val="Heading2"/>
      </w:pPr>
      <w:r>
        <w:t>5. Product and Service Data</w:t>
      </w:r>
    </w:p>
    <w:p w14:paraId="66091FBE" w14:textId="77777777" w:rsidR="0037285A" w:rsidRDefault="0073327E">
      <w:pPr>
        <w:pStyle w:val="ListBullet"/>
      </w:pPr>
      <w:r>
        <w:t>- Type of Product or Service Used: Identifying high-risk services (e.g., private banking, correspondent banking, high-value commodities trading).</w:t>
      </w:r>
    </w:p>
    <w:p w14:paraId="5EC6BF3D" w14:textId="77777777" w:rsidR="0037285A" w:rsidRDefault="0073327E">
      <w:pPr>
        <w:pStyle w:val="ListBullet"/>
      </w:pPr>
      <w:r>
        <w:t>- Method of Delivery: Channels through which products/services are delivered (e.g., online banking, non-face-to-face interactions, third-party intermediaries).</w:t>
      </w:r>
    </w:p>
    <w:p w14:paraId="01C11C2C" w14:textId="77777777" w:rsidR="0037285A" w:rsidRDefault="0073327E">
      <w:pPr>
        <w:pStyle w:val="ListBullet"/>
      </w:pPr>
      <w:r>
        <w:lastRenderedPageBreak/>
        <w:t>- Anonymity of Products: Services that provide anonymity, such as stored value cards, are higher risk and require additional monitoring.</w:t>
      </w:r>
    </w:p>
    <w:p w14:paraId="50B4D3BC" w14:textId="77777777" w:rsidR="0037285A" w:rsidRDefault="0073327E">
      <w:pPr>
        <w:pStyle w:val="Heading2"/>
      </w:pPr>
      <w:r>
        <w:t>6. Risk Assessment and Monitoring Data</w:t>
      </w:r>
    </w:p>
    <w:p w14:paraId="4736C394" w14:textId="77777777" w:rsidR="0037285A" w:rsidRDefault="0073327E">
      <w:pPr>
        <w:pStyle w:val="ListBullet"/>
      </w:pPr>
      <w:r>
        <w:t>- Customer Risk Score: A calculated risk score based on factors such as customer type, geographic location, and transaction history.</w:t>
      </w:r>
    </w:p>
    <w:p w14:paraId="789305CC" w14:textId="77777777" w:rsidR="0037285A" w:rsidRDefault="0073327E">
      <w:pPr>
        <w:pStyle w:val="ListBullet"/>
      </w:pPr>
      <w:r>
        <w:t>- Enhanced Due Diligence (EDD) Triggers: Flags for when a customer requires EDD, such as transactions with high-risk countries, unusual patterns, or PEP status.</w:t>
      </w:r>
    </w:p>
    <w:p w14:paraId="2D953FE8" w14:textId="77777777" w:rsidR="0037285A" w:rsidRDefault="0073327E">
      <w:pPr>
        <w:pStyle w:val="ListBullet"/>
      </w:pPr>
      <w:r>
        <w:t>- Monitoring Thresholds: Set thresholds for transaction alerts or reviews, which can be adjusted based on evolving risk levels.</w:t>
      </w:r>
    </w:p>
    <w:p w14:paraId="76B335D6" w14:textId="77777777" w:rsidR="0037285A" w:rsidRDefault="0073327E">
      <w:pPr>
        <w:pStyle w:val="ListBullet"/>
      </w:pPr>
      <w:r>
        <w:t>- Suspicious Activity Reports (SARs): Records of SAR filings, reasons for suspicion, and resolution status.</w:t>
      </w:r>
    </w:p>
    <w:p w14:paraId="2256B53E" w14:textId="77777777" w:rsidR="0037285A" w:rsidRDefault="0073327E">
      <w:pPr>
        <w:pStyle w:val="Heading2"/>
      </w:pPr>
      <w:r>
        <w:t>7. Internal Compliance and Control Data</w:t>
      </w:r>
    </w:p>
    <w:p w14:paraId="552BDB7B" w14:textId="77777777" w:rsidR="0037285A" w:rsidRDefault="0073327E">
      <w:pPr>
        <w:pStyle w:val="ListBullet"/>
      </w:pPr>
      <w:r>
        <w:t>- Training Records: Tracking AML/CFT training participation by employees.</w:t>
      </w:r>
    </w:p>
    <w:p w14:paraId="3EB359B4" w14:textId="77777777" w:rsidR="0037285A" w:rsidRDefault="0073327E">
      <w:pPr>
        <w:pStyle w:val="ListBullet"/>
      </w:pPr>
      <w:r>
        <w:t xml:space="preserve">- Audit Logs and Review Findings: Results of internal audits, third-party </w:t>
      </w:r>
      <w:r>
        <w:t>reviews, or compliance checks.</w:t>
      </w:r>
    </w:p>
    <w:p w14:paraId="1C0ABCFB" w14:textId="77777777" w:rsidR="0037285A" w:rsidRDefault="0073327E">
      <w:pPr>
        <w:pStyle w:val="ListBullet"/>
      </w:pPr>
      <w:r>
        <w:t>- System and Process Changes: Updates to thresholds, controls, and procedures based on recent findings or changes in regulatory guidance.</w:t>
      </w:r>
    </w:p>
    <w:sectPr w:rsidR="0037285A" w:rsidSect="00034616">
      <w:footerReference w:type="even" r:id="rId8"/>
      <w:footerReference w:type="default" r:id="rId9"/>
      <w:footerReference w:type="firs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1DD977" w14:textId="77777777" w:rsidR="0073327E" w:rsidRDefault="0073327E" w:rsidP="0073327E">
      <w:pPr>
        <w:spacing w:after="0" w:line="240" w:lineRule="auto"/>
      </w:pPr>
      <w:r>
        <w:separator/>
      </w:r>
    </w:p>
  </w:endnote>
  <w:endnote w:type="continuationSeparator" w:id="0">
    <w:p w14:paraId="2D45FEBD" w14:textId="77777777" w:rsidR="0073327E" w:rsidRDefault="0073327E" w:rsidP="00733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FA8358" w14:textId="02F99A26" w:rsidR="0073327E" w:rsidRDefault="0073327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9B5DE0" wp14:editId="7FDFD0A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19175" cy="352425"/>
              <wp:effectExtent l="0" t="0" r="9525" b="0"/>
              <wp:wrapNone/>
              <wp:docPr id="314107582" name="Text Box 2" descr="Restricted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91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6C3A25" w14:textId="6DFF8D62" w:rsidR="0073327E" w:rsidRPr="0073327E" w:rsidRDefault="0073327E" w:rsidP="0073327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3327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Restricted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9B5DE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 - Internal" style="position:absolute;margin-left:0;margin-top:0;width:80.25pt;height:27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576C3A25" w14:textId="6DFF8D62" w:rsidR="0073327E" w:rsidRPr="0073327E" w:rsidRDefault="0073327E" w:rsidP="0073327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3327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Restricted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4B69E" w14:textId="0EA61BC5" w:rsidR="0073327E" w:rsidRDefault="0073327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5842019" wp14:editId="4933602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19175" cy="352425"/>
              <wp:effectExtent l="0" t="0" r="9525" b="0"/>
              <wp:wrapNone/>
              <wp:docPr id="976284557" name="Text Box 3" descr="Restricted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91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CB8CE8" w14:textId="2EE95A21" w:rsidR="0073327E" w:rsidRPr="0073327E" w:rsidRDefault="0073327E" w:rsidP="0073327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3327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Restricted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84201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 - Internal" style="position:absolute;margin-left:0;margin-top:0;width:80.25pt;height:27.7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2FCB8CE8" w14:textId="2EE95A21" w:rsidR="0073327E" w:rsidRPr="0073327E" w:rsidRDefault="0073327E" w:rsidP="0073327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3327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Restricted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5E03B" w14:textId="05498F70" w:rsidR="0073327E" w:rsidRDefault="0073327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2105E74" wp14:editId="214028D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19175" cy="352425"/>
              <wp:effectExtent l="0" t="0" r="9525" b="0"/>
              <wp:wrapNone/>
              <wp:docPr id="1193856902" name="Text Box 1" descr="Restricted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91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7F3A27" w14:textId="6EE6A476" w:rsidR="0073327E" w:rsidRPr="0073327E" w:rsidRDefault="0073327E" w:rsidP="0073327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3327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Restricted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105E7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estricted - Internal" style="position:absolute;margin-left:0;margin-top:0;width:80.25pt;height:27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" filled="f" stroked="f">
              <v:fill o:detectmouseclick="t"/>
              <v:textbox style="mso-fit-shape-to-text:t" inset="0,0,0,15pt">
                <w:txbxContent>
                  <w:p w14:paraId="1F7F3A27" w14:textId="6EE6A476" w:rsidR="0073327E" w:rsidRPr="0073327E" w:rsidRDefault="0073327E" w:rsidP="0073327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3327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Restricted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02B660" w14:textId="77777777" w:rsidR="0073327E" w:rsidRDefault="0073327E" w:rsidP="0073327E">
      <w:pPr>
        <w:spacing w:after="0" w:line="240" w:lineRule="auto"/>
      </w:pPr>
      <w:r>
        <w:separator/>
      </w:r>
    </w:p>
  </w:footnote>
  <w:footnote w:type="continuationSeparator" w:id="0">
    <w:p w14:paraId="68A23C66" w14:textId="77777777" w:rsidR="0073327E" w:rsidRDefault="0073327E" w:rsidP="007332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5180128">
    <w:abstractNumId w:val="8"/>
  </w:num>
  <w:num w:numId="2" w16cid:durableId="2062435066">
    <w:abstractNumId w:val="6"/>
  </w:num>
  <w:num w:numId="3" w16cid:durableId="1230456297">
    <w:abstractNumId w:val="5"/>
  </w:num>
  <w:num w:numId="4" w16cid:durableId="1288463760">
    <w:abstractNumId w:val="4"/>
  </w:num>
  <w:num w:numId="5" w16cid:durableId="1214191448">
    <w:abstractNumId w:val="7"/>
  </w:num>
  <w:num w:numId="6" w16cid:durableId="1415124334">
    <w:abstractNumId w:val="3"/>
  </w:num>
  <w:num w:numId="7" w16cid:durableId="1801339532">
    <w:abstractNumId w:val="2"/>
  </w:num>
  <w:num w:numId="8" w16cid:durableId="769398376">
    <w:abstractNumId w:val="1"/>
  </w:num>
  <w:num w:numId="9" w16cid:durableId="902257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7285A"/>
    <w:rsid w:val="00593996"/>
    <w:rsid w:val="0073327E"/>
    <w:rsid w:val="00AA1D8D"/>
    <w:rsid w:val="00B47730"/>
    <w:rsid w:val="00CB0664"/>
    <w:rsid w:val="00FC693F"/>
    <w:rsid w:val="2A99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EA88C8EB-79C3-4C36-84E9-811F8925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2736</Characters>
  <Application>Microsoft Office Word</Application>
  <DocSecurity>0</DocSecurity>
  <Lines>22</Lines>
  <Paragraphs>6</Paragraphs>
  <ScaleCrop>false</ScaleCrop>
  <Manager/>
  <Company/>
  <LinksUpToDate>false</LinksUpToDate>
  <CharactersWithSpaces>3209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 D.Gandhi</cp:lastModifiedBy>
  <cp:revision>2</cp:revision>
  <dcterms:created xsi:type="dcterms:W3CDTF">2024-11-13T13:47:00Z</dcterms:created>
  <dcterms:modified xsi:type="dcterms:W3CDTF">2024-11-13T13:47:00Z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4728cf86,12b8e6be,3a30eb8d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Restricted - Internal</vt:lpwstr>
  </property>
  <property fmtid="{D5CDD505-2E9C-101B-9397-08002B2CF9AE}" pid="5" name="MSIP_Label_6a5eed2d-f507-487d-9ff3-0d2509888e6d_Enabled">
    <vt:lpwstr>true</vt:lpwstr>
  </property>
  <property fmtid="{D5CDD505-2E9C-101B-9397-08002B2CF9AE}" pid="6" name="MSIP_Label_6a5eed2d-f507-487d-9ff3-0d2509888e6d_SetDate">
    <vt:lpwstr>2024-11-13T13:47:28Z</vt:lpwstr>
  </property>
  <property fmtid="{D5CDD505-2E9C-101B-9397-08002B2CF9AE}" pid="7" name="MSIP_Label_6a5eed2d-f507-487d-9ff3-0d2509888e6d_Method">
    <vt:lpwstr>Standard</vt:lpwstr>
  </property>
  <property fmtid="{D5CDD505-2E9C-101B-9397-08002B2CF9AE}" pid="8" name="MSIP_Label_6a5eed2d-f507-487d-9ff3-0d2509888e6d_Name">
    <vt:lpwstr>Restricted - Internal</vt:lpwstr>
  </property>
  <property fmtid="{D5CDD505-2E9C-101B-9397-08002B2CF9AE}" pid="9" name="MSIP_Label_6a5eed2d-f507-487d-9ff3-0d2509888e6d_SiteId">
    <vt:lpwstr>9ff87383-ae93-4e4b-85fd-e21685c0431c</vt:lpwstr>
  </property>
  <property fmtid="{D5CDD505-2E9C-101B-9397-08002B2CF9AE}" pid="10" name="MSIP_Label_6a5eed2d-f507-487d-9ff3-0d2509888e6d_ActionId">
    <vt:lpwstr>c896fd6a-7938-4170-8b2f-7698422b7efc</vt:lpwstr>
  </property>
  <property fmtid="{D5CDD505-2E9C-101B-9397-08002B2CF9AE}" pid="11" name="MSIP_Label_6a5eed2d-f507-487d-9ff3-0d2509888e6d_ContentBits">
    <vt:lpwstr>2</vt:lpwstr>
  </property>
</Properties>
</file>