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4912" w14:textId="77777777" w:rsidR="00966749" w:rsidRDefault="00966749" w:rsidP="00966749">
      <w:r>
        <w:t>The data reveals a detailed sequence of 20 transactions by a single customer. Here’s an overview of the key insights that will form the narrative:</w:t>
      </w:r>
    </w:p>
    <w:p w14:paraId="4FB40816" w14:textId="77777777" w:rsidR="00966749" w:rsidRDefault="00966749" w:rsidP="00966749"/>
    <w:p w14:paraId="48A717F2" w14:textId="77777777" w:rsidR="00966749" w:rsidRDefault="00966749" w:rsidP="00966749">
      <w:r>
        <w:t>Transaction Variety:</w:t>
      </w:r>
    </w:p>
    <w:p w14:paraId="4D4E8497" w14:textId="77777777" w:rsidR="00966749" w:rsidRDefault="00966749" w:rsidP="00966749"/>
    <w:p w14:paraId="5841815A" w14:textId="77777777" w:rsidR="00966749" w:rsidRDefault="00966749" w:rsidP="00966749">
      <w:r>
        <w:t>Types: Primarily point-of-sale (POS) transactions (13) with some online (5) and a few inbound (2) transactions.</w:t>
      </w:r>
    </w:p>
    <w:p w14:paraId="640C3422" w14:textId="77777777" w:rsidR="00966749" w:rsidRDefault="00966749" w:rsidP="00966749">
      <w:r>
        <w:t>Categories: The customer made purchases across various categories, including Cryptocurrency (5), Gas (4), Clothing (3), Grocery (3), and Electronics (2). There were also individual entries for "Gift from parents," "Cross-border from HK," and "Restaurant."</w:t>
      </w:r>
    </w:p>
    <w:p w14:paraId="4338DF68" w14:textId="77777777" w:rsidR="00966749" w:rsidRDefault="00966749" w:rsidP="00966749">
      <w:r>
        <w:t>Financial Behavior:</w:t>
      </w:r>
    </w:p>
    <w:p w14:paraId="77DF7790" w14:textId="77777777" w:rsidR="00966749" w:rsidRDefault="00966749" w:rsidP="00966749"/>
    <w:p w14:paraId="52FAC6E6" w14:textId="77777777" w:rsidR="00966749" w:rsidRDefault="00966749" w:rsidP="00966749">
      <w:r>
        <w:t>Transaction Amounts: The average transaction amount is £41,454.69, reflecting a high level of spending. Most transactions fall within a reasonable spending range, but there is a substantial variation, with a maximum transaction amount of £560,000 and a minimum of £117.98.</w:t>
      </w:r>
    </w:p>
    <w:p w14:paraId="79AD3B7F" w14:textId="77777777" w:rsidR="00966749" w:rsidRDefault="00966749" w:rsidP="00966749">
      <w:r>
        <w:t>Pattern: Frequent high-value transactions, such as those involving cryptocurrency and significant cross-border transactions, suggest diverse spending habits and possibly a high-net-worth profile.</w:t>
      </w:r>
    </w:p>
    <w:p w14:paraId="05D05E18" w14:textId="77777777" w:rsidR="00966749" w:rsidRDefault="00966749" w:rsidP="00966749">
      <w:r>
        <w:t>Risk Profile:</w:t>
      </w:r>
    </w:p>
    <w:p w14:paraId="25B66203" w14:textId="77777777" w:rsidR="00966749" w:rsidRDefault="00966749" w:rsidP="00966749"/>
    <w:p w14:paraId="60DAD5C5" w14:textId="77777777" w:rsidR="00966749" w:rsidRDefault="00966749" w:rsidP="00966749">
      <w:r>
        <w:t>The customer has a high KYC (Know Your Customer) risk score of 85, and the frequent transaction location is listed as China. Additionally, there are several closed false-positive alerts, indicating previous monitoring due to the elevated risk profile.</w:t>
      </w:r>
    </w:p>
    <w:p w14:paraId="4647C7C0" w14:textId="77777777" w:rsidR="00966749" w:rsidRDefault="00966749" w:rsidP="00966749">
      <w:r>
        <w:t xml:space="preserve">I’ll now compose a narrative incorporating these elements. </w:t>
      </w:r>
      <w:r>
        <w:rPr>
          <w:rFonts w:ascii="Arial" w:hAnsi="Arial" w:cs="Arial"/>
        </w:rPr>
        <w:t>​​</w:t>
      </w:r>
    </w:p>
    <w:p w14:paraId="4AC6DAC7" w14:textId="77777777" w:rsidR="00966749" w:rsidRDefault="00966749" w:rsidP="00966749"/>
    <w:p w14:paraId="49C3EFD1" w14:textId="77777777" w:rsidR="00966749" w:rsidRDefault="00966749" w:rsidP="00966749">
      <w:r>
        <w:t>Narrative Description of Transactional Activity</w:t>
      </w:r>
    </w:p>
    <w:p w14:paraId="7CD3F180" w14:textId="77777777" w:rsidR="00966749" w:rsidRDefault="00966749" w:rsidP="00966749"/>
    <w:p w14:paraId="69E4ADC3" w14:textId="77777777" w:rsidR="00966749" w:rsidRDefault="00966749" w:rsidP="00966749">
      <w:r>
        <w:t xml:space="preserve">The customer’s transactional profile reflects a mix of lifestyle-driven expenditures and high-value financial transactions, underlining a possible high-net-worth status with diverse </w:t>
      </w:r>
      <w:r>
        <w:lastRenderedPageBreak/>
        <w:t>spending habits. This individual’s spending habits span various domains, ranging from daily expenses to large, potentially speculative investments. Below, I will describe each category and pattern observed.</w:t>
      </w:r>
    </w:p>
    <w:p w14:paraId="04EB1232" w14:textId="77777777" w:rsidR="00966749" w:rsidRDefault="00966749" w:rsidP="00966749"/>
    <w:p w14:paraId="4925C169" w14:textId="77777777" w:rsidR="00966749" w:rsidRDefault="00966749" w:rsidP="00966749">
      <w:r>
        <w:t>1. Routine Lifestyle Expenditures</w:t>
      </w:r>
    </w:p>
    <w:p w14:paraId="4879AA4B" w14:textId="77777777" w:rsidR="00966749" w:rsidRDefault="00966749" w:rsidP="00966749">
      <w:r>
        <w:t>The customer’s routine expenses include multiple categories—Clothing, Gas, Grocery, and Restaurant payments—that suggest day-to-day life expenditures. For example, several transactions categorized under “Gas” and “Grocery” seem aligned with regular maintenance of daily necessities and transportation needs. These transactions are relatively moderate, averaging around £400 to £500, with some variations due to seasonal or situational needs. Clothing purchases also appear three times, indicating a pattern of regular personal upkeep or an affinity for retail shopping.</w:t>
      </w:r>
    </w:p>
    <w:p w14:paraId="7E86CE38" w14:textId="77777777" w:rsidR="00966749" w:rsidRDefault="00966749" w:rsidP="00966749"/>
    <w:p w14:paraId="14A2256B" w14:textId="77777777" w:rsidR="00966749" w:rsidRDefault="00966749" w:rsidP="00966749">
      <w:r>
        <w:t>Additionally, a single restaurant transaction indicates an isolated instance of dining out, possibly a special occasion or a business-related expense.</w:t>
      </w:r>
    </w:p>
    <w:p w14:paraId="2B824314" w14:textId="77777777" w:rsidR="00966749" w:rsidRDefault="00966749" w:rsidP="00966749"/>
    <w:p w14:paraId="3F541B80" w14:textId="77777777" w:rsidR="00966749" w:rsidRDefault="00966749" w:rsidP="00966749">
      <w:r>
        <w:t>2. High-Value and Unique Financial Transactions</w:t>
      </w:r>
    </w:p>
    <w:p w14:paraId="18AFD10C" w14:textId="77777777" w:rsidR="00966749" w:rsidRDefault="00966749" w:rsidP="00966749">
      <w:r>
        <w:t>Cryptocurrency Purchases</w:t>
      </w:r>
    </w:p>
    <w:p w14:paraId="2BF38124" w14:textId="77777777" w:rsidR="00966749" w:rsidRDefault="00966749" w:rsidP="00966749">
      <w:r>
        <w:t>Cryptocurrency transactions make up a significant portion of the customer’s spending, with five recorded transactions. Each transaction involves substantial amounts, suggesting a deliberate investment interest in digital assets. Given the volatility and speculative nature of cryptocurrencies, this indicates that the customer may have a risk-tolerant investment approach or be an active participant in cryptocurrency trading. This high volume of cryptocurrency transactions may have contributed to a heightened KYC (Know Your Customer) risk score, as financial institutions often monitor such transactions for compliance with anti-money laundering (AML) standards.</w:t>
      </w:r>
    </w:p>
    <w:p w14:paraId="37AE1C5E" w14:textId="77777777" w:rsidR="00966749" w:rsidRDefault="00966749" w:rsidP="00966749"/>
    <w:p w14:paraId="2D831745" w14:textId="77777777" w:rsidR="00966749" w:rsidRDefault="00966749" w:rsidP="00966749">
      <w:r>
        <w:t>Cross-Border Transaction from Hong Kong</w:t>
      </w:r>
    </w:p>
    <w:p w14:paraId="192072BB" w14:textId="77777777" w:rsidR="00966749" w:rsidRDefault="00966749" w:rsidP="00966749">
      <w:r>
        <w:t xml:space="preserve">One particularly notable transaction is a cross-border transfer originating from Hong Kong. This entry could indicate various financial motivations, such as international investments, business dealings, or personal transfers. Hong Kong is known for its financial services and </w:t>
      </w:r>
      <w:r>
        <w:lastRenderedPageBreak/>
        <w:t>as a gateway to Asian markets, hinting that the customer may be engaged in cross-border investments or transactions tied to international business interests.</w:t>
      </w:r>
    </w:p>
    <w:p w14:paraId="0CDE4069" w14:textId="77777777" w:rsidR="00966749" w:rsidRDefault="00966749" w:rsidP="00966749"/>
    <w:p w14:paraId="4559B2C4" w14:textId="77777777" w:rsidR="00966749" w:rsidRDefault="00966749" w:rsidP="00966749">
      <w:r>
        <w:t>Gift from Parents</w:t>
      </w:r>
    </w:p>
    <w:p w14:paraId="1D2BF301" w14:textId="77777777" w:rsidR="00966749" w:rsidRDefault="00966749" w:rsidP="00966749">
      <w:r>
        <w:t>One transaction is labeled as a “Gift from parents,” an inbound transfer. This entry suggests that the customer receives financial support or occasional gifts from family, possibly indicating a younger professional or someone with close financial ties to family members who can provide significant financial assistance. The specific mention of this as a gift provides insight into family support dynamics and may hint at generational wealth, contributing to the customer’s lifestyle.</w:t>
      </w:r>
    </w:p>
    <w:p w14:paraId="3A16331F" w14:textId="77777777" w:rsidR="00966749" w:rsidRDefault="00966749" w:rsidP="00966749"/>
    <w:p w14:paraId="00B40A3A" w14:textId="77777777" w:rsidR="00966749" w:rsidRDefault="00966749" w:rsidP="00966749">
      <w:r>
        <w:t>3. High Spending and Risk Profile</w:t>
      </w:r>
    </w:p>
    <w:p w14:paraId="15F8FE02" w14:textId="77777777" w:rsidR="00966749" w:rsidRDefault="00966749" w:rsidP="00966749">
      <w:r>
        <w:t>The customer’s overall transaction pattern shows a substantial amount of capital flow. With an average transaction amount of £41,454.69 and one transaction reaching £560,000, this high level of spending underscores a lifestyle that involves significant cash flow. The highest transaction amount could be related to an asset purchase or a large investment. The substantial variance in spending, with small and large expenditures, further points to a lifestyle blending both routine expenses and high-value transactions.</w:t>
      </w:r>
    </w:p>
    <w:p w14:paraId="0C354947" w14:textId="77777777" w:rsidR="00966749" w:rsidRDefault="00966749" w:rsidP="00966749"/>
    <w:p w14:paraId="7348F0C2" w14:textId="77777777" w:rsidR="00966749" w:rsidRDefault="00966749" w:rsidP="00966749">
      <w:r>
        <w:t>Risk Profile and Monitoring</w:t>
      </w:r>
    </w:p>
    <w:p w14:paraId="5049415E" w14:textId="77777777" w:rsidR="00966749" w:rsidRDefault="00966749" w:rsidP="00966749">
      <w:r>
        <w:t xml:space="preserve">The customer’s profile includes a KYC (Know Your Customer) AML risk score of 85, indicating a </w:t>
      </w:r>
      <w:proofErr w:type="gramStart"/>
      <w:r>
        <w:t>high risk</w:t>
      </w:r>
      <w:proofErr w:type="gramEnd"/>
      <w:r>
        <w:t xml:space="preserve"> level in terms of financial monitoring. This elevated score, coupled with the mention of closed false-positive alerts, implies that the customer’s transactional activity has triggered prior alerts due to large or international transactions, which are common indicators of potential money laundering activities. The KYC monitoring, however, has not resulted in any confirmed suspicious activity, as indicated by the closed alerts, yet the high score warrants ongoing vigilance by the financial institution.</w:t>
      </w:r>
    </w:p>
    <w:p w14:paraId="255D912F" w14:textId="77777777" w:rsidR="00966749" w:rsidRDefault="00966749" w:rsidP="00966749"/>
    <w:p w14:paraId="11979058" w14:textId="77777777" w:rsidR="00966749" w:rsidRDefault="00966749" w:rsidP="00966749">
      <w:r>
        <w:t>Moreover, the customer frequently connects from a location in China, which may suggest regular travel, overseas business, or personal connections in that region. Frequent connection from a foreign country can be a typical red flag in AML assessments, as it may indicate international business dealings or connections that require additional scrutiny.</w:t>
      </w:r>
    </w:p>
    <w:p w14:paraId="7E893264" w14:textId="77777777" w:rsidR="00966749" w:rsidRDefault="00966749" w:rsidP="00966749"/>
    <w:p w14:paraId="705F2FE5" w14:textId="77777777" w:rsidR="00966749" w:rsidRDefault="00966749" w:rsidP="00966749">
      <w:r>
        <w:t>Concluding Observations</w:t>
      </w:r>
    </w:p>
    <w:p w14:paraId="269E2F73" w14:textId="0EBD50EA" w:rsidR="00966749" w:rsidRDefault="00966749" w:rsidP="00966749">
      <w:r>
        <w:t>This sequence of transactions paints a picture of a customer with substantial financial means and varied interests. Their spending behavior indicates a lifestyle supported by both personal and possibly family wealth, with an inclination toward both regular expenses and significant financial undertakings. The presence of international transactions, high-risk cryptocurrency investments, and family financial support points to a dynamic and well-resourced individual who is actively engaged in both personal consumption and financial growth activities.</w:t>
      </w:r>
    </w:p>
    <w:sectPr w:rsidR="00966749">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75A93" w14:textId="77777777" w:rsidR="00F873F1" w:rsidRDefault="00F873F1" w:rsidP="00966749">
      <w:pPr>
        <w:spacing w:after="0" w:line="240" w:lineRule="auto"/>
      </w:pPr>
      <w:r>
        <w:separator/>
      </w:r>
    </w:p>
  </w:endnote>
  <w:endnote w:type="continuationSeparator" w:id="0">
    <w:p w14:paraId="5D2F6E63" w14:textId="77777777" w:rsidR="00F873F1" w:rsidRDefault="00F873F1" w:rsidP="0096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DE21B" w14:textId="6292605E" w:rsidR="00966749" w:rsidRDefault="00966749">
    <w:pPr>
      <w:pStyle w:val="Footer"/>
    </w:pPr>
    <w:r>
      <w:rPr>
        <w:noProof/>
      </w:rPr>
      <mc:AlternateContent>
        <mc:Choice Requires="wps">
          <w:drawing>
            <wp:anchor distT="0" distB="0" distL="0" distR="0" simplePos="0" relativeHeight="251659264" behindDoc="0" locked="0" layoutInCell="1" allowOverlap="1" wp14:anchorId="2487E139" wp14:editId="4A483854">
              <wp:simplePos x="635" y="635"/>
              <wp:positionH relativeFrom="page">
                <wp:align>center</wp:align>
              </wp:positionH>
              <wp:positionV relativeFrom="page">
                <wp:align>bottom</wp:align>
              </wp:positionV>
              <wp:extent cx="1018540" cy="370205"/>
              <wp:effectExtent l="0" t="0" r="10160" b="0"/>
              <wp:wrapNone/>
              <wp:docPr id="2090821316" name="Text Box 2"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6769022D" w14:textId="42856645" w:rsidR="00966749" w:rsidRPr="00966749" w:rsidRDefault="00966749" w:rsidP="00966749">
                          <w:pPr>
                            <w:spacing w:after="0"/>
                            <w:rPr>
                              <w:rFonts w:ascii="Calibri" w:eastAsia="Calibri" w:hAnsi="Calibri" w:cs="Calibri"/>
                              <w:noProof/>
                              <w:color w:val="000000"/>
                              <w:sz w:val="20"/>
                              <w:szCs w:val="20"/>
                            </w:rPr>
                          </w:pPr>
                          <w:r w:rsidRPr="00966749">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87E139" id="_x0000_t202" coordsize="21600,21600" o:spt="202" path="m,l,21600r21600,l21600,xe">
              <v:stroke joinstyle="miter"/>
              <v:path gradientshapeok="t" o:connecttype="rect"/>
            </v:shapetype>
            <v:shape id="Text Box 2" o:spid="_x0000_s1026" type="#_x0000_t202" alt="Restricted - Internal" style="position:absolute;margin-left:0;margin-top:0;width:80.2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" filled="f" stroked="f">
              <v:fill o:detectmouseclick="t"/>
              <v:textbox style="mso-fit-shape-to-text:t" inset="0,0,0,15pt">
                <w:txbxContent>
                  <w:p w14:paraId="6769022D" w14:textId="42856645" w:rsidR="00966749" w:rsidRPr="00966749" w:rsidRDefault="00966749" w:rsidP="00966749">
                    <w:pPr>
                      <w:spacing w:after="0"/>
                      <w:rPr>
                        <w:rFonts w:ascii="Calibri" w:eastAsia="Calibri" w:hAnsi="Calibri" w:cs="Calibri"/>
                        <w:noProof/>
                        <w:color w:val="000000"/>
                        <w:sz w:val="20"/>
                        <w:szCs w:val="20"/>
                      </w:rPr>
                    </w:pPr>
                    <w:r w:rsidRPr="00966749">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537F4" w14:textId="252C866F" w:rsidR="00966749" w:rsidRDefault="00966749">
    <w:pPr>
      <w:pStyle w:val="Footer"/>
    </w:pPr>
    <w:r>
      <w:rPr>
        <w:noProof/>
      </w:rPr>
      <mc:AlternateContent>
        <mc:Choice Requires="wps">
          <w:drawing>
            <wp:anchor distT="0" distB="0" distL="0" distR="0" simplePos="0" relativeHeight="251660288" behindDoc="0" locked="0" layoutInCell="1" allowOverlap="1" wp14:anchorId="382E0586" wp14:editId="66893FB5">
              <wp:simplePos x="914400" y="9420225"/>
              <wp:positionH relativeFrom="page">
                <wp:align>center</wp:align>
              </wp:positionH>
              <wp:positionV relativeFrom="page">
                <wp:align>bottom</wp:align>
              </wp:positionV>
              <wp:extent cx="1018540" cy="370205"/>
              <wp:effectExtent l="0" t="0" r="10160" b="0"/>
              <wp:wrapNone/>
              <wp:docPr id="1739209130" name="Text Box 3"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6BDDAB44" w14:textId="32003D8D" w:rsidR="00966749" w:rsidRPr="00966749" w:rsidRDefault="00966749" w:rsidP="00966749">
                          <w:pPr>
                            <w:spacing w:after="0"/>
                            <w:rPr>
                              <w:rFonts w:ascii="Calibri" w:eastAsia="Calibri" w:hAnsi="Calibri" w:cs="Calibri"/>
                              <w:noProof/>
                              <w:color w:val="000000"/>
                              <w:sz w:val="20"/>
                              <w:szCs w:val="20"/>
                            </w:rPr>
                          </w:pPr>
                          <w:r w:rsidRPr="00966749">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82E0586" id="_x0000_t202" coordsize="21600,21600" o:spt="202" path="m,l,21600r21600,l21600,xe">
              <v:stroke joinstyle="miter"/>
              <v:path gradientshapeok="t" o:connecttype="rect"/>
            </v:shapetype>
            <v:shape id="Text Box 3" o:spid="_x0000_s1027" type="#_x0000_t202" alt="Restricted - Internal" style="position:absolute;margin-left:0;margin-top:0;width:80.2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" filled="f" stroked="f">
              <v:fill o:detectmouseclick="t"/>
              <v:textbox style="mso-fit-shape-to-text:t" inset="0,0,0,15pt">
                <w:txbxContent>
                  <w:p w14:paraId="6BDDAB44" w14:textId="32003D8D" w:rsidR="00966749" w:rsidRPr="00966749" w:rsidRDefault="00966749" w:rsidP="00966749">
                    <w:pPr>
                      <w:spacing w:after="0"/>
                      <w:rPr>
                        <w:rFonts w:ascii="Calibri" w:eastAsia="Calibri" w:hAnsi="Calibri" w:cs="Calibri"/>
                        <w:noProof/>
                        <w:color w:val="000000"/>
                        <w:sz w:val="20"/>
                        <w:szCs w:val="20"/>
                      </w:rPr>
                    </w:pPr>
                    <w:r w:rsidRPr="00966749">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E9DDA" w14:textId="3D2475BC" w:rsidR="00966749" w:rsidRDefault="00966749">
    <w:pPr>
      <w:pStyle w:val="Footer"/>
    </w:pPr>
    <w:r>
      <w:rPr>
        <w:noProof/>
      </w:rPr>
      <mc:AlternateContent>
        <mc:Choice Requires="wps">
          <w:drawing>
            <wp:anchor distT="0" distB="0" distL="0" distR="0" simplePos="0" relativeHeight="251658240" behindDoc="0" locked="0" layoutInCell="1" allowOverlap="1" wp14:anchorId="3AC586D6" wp14:editId="1F34DD5F">
              <wp:simplePos x="635" y="635"/>
              <wp:positionH relativeFrom="page">
                <wp:align>center</wp:align>
              </wp:positionH>
              <wp:positionV relativeFrom="page">
                <wp:align>bottom</wp:align>
              </wp:positionV>
              <wp:extent cx="1018540" cy="370205"/>
              <wp:effectExtent l="0" t="0" r="10160" b="0"/>
              <wp:wrapNone/>
              <wp:docPr id="798129853" name="Text Box 1"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4643F679" w14:textId="385359CC" w:rsidR="00966749" w:rsidRPr="00966749" w:rsidRDefault="00966749" w:rsidP="00966749">
                          <w:pPr>
                            <w:spacing w:after="0"/>
                            <w:rPr>
                              <w:rFonts w:ascii="Calibri" w:eastAsia="Calibri" w:hAnsi="Calibri" w:cs="Calibri"/>
                              <w:noProof/>
                              <w:color w:val="000000"/>
                              <w:sz w:val="20"/>
                              <w:szCs w:val="20"/>
                            </w:rPr>
                          </w:pPr>
                          <w:r w:rsidRPr="00966749">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C586D6" id="_x0000_t202" coordsize="21600,21600" o:spt="202" path="m,l,21600r21600,l21600,xe">
              <v:stroke joinstyle="miter"/>
              <v:path gradientshapeok="t" o:connecttype="rect"/>
            </v:shapetype>
            <v:shape id="Text Box 1" o:spid="_x0000_s1028" type="#_x0000_t202" alt="Restricted - Internal" style="position:absolute;margin-left:0;margin-top:0;width:80.2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" filled="f" stroked="f">
              <v:fill o:detectmouseclick="t"/>
              <v:textbox style="mso-fit-shape-to-text:t" inset="0,0,0,15pt">
                <w:txbxContent>
                  <w:p w14:paraId="4643F679" w14:textId="385359CC" w:rsidR="00966749" w:rsidRPr="00966749" w:rsidRDefault="00966749" w:rsidP="00966749">
                    <w:pPr>
                      <w:spacing w:after="0"/>
                      <w:rPr>
                        <w:rFonts w:ascii="Calibri" w:eastAsia="Calibri" w:hAnsi="Calibri" w:cs="Calibri"/>
                        <w:noProof/>
                        <w:color w:val="000000"/>
                        <w:sz w:val="20"/>
                        <w:szCs w:val="20"/>
                      </w:rPr>
                    </w:pPr>
                    <w:r w:rsidRPr="00966749">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BAEBF" w14:textId="77777777" w:rsidR="00F873F1" w:rsidRDefault="00F873F1" w:rsidP="00966749">
      <w:pPr>
        <w:spacing w:after="0" w:line="240" w:lineRule="auto"/>
      </w:pPr>
      <w:r>
        <w:separator/>
      </w:r>
    </w:p>
  </w:footnote>
  <w:footnote w:type="continuationSeparator" w:id="0">
    <w:p w14:paraId="21C653EF" w14:textId="77777777" w:rsidR="00F873F1" w:rsidRDefault="00F873F1" w:rsidP="00966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49"/>
    <w:rsid w:val="00285C82"/>
    <w:rsid w:val="00966749"/>
    <w:rsid w:val="00A1298C"/>
    <w:rsid w:val="00F8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6298"/>
  <w15:chartTrackingRefBased/>
  <w15:docId w15:val="{7C1D0CC3-4B5B-4965-95F9-7E878EE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749"/>
    <w:rPr>
      <w:rFonts w:eastAsiaTheme="majorEastAsia" w:cstheme="majorBidi"/>
      <w:color w:val="272727" w:themeColor="text1" w:themeTint="D8"/>
    </w:rPr>
  </w:style>
  <w:style w:type="paragraph" w:styleId="Title">
    <w:name w:val="Title"/>
    <w:basedOn w:val="Normal"/>
    <w:next w:val="Normal"/>
    <w:link w:val="TitleChar"/>
    <w:uiPriority w:val="10"/>
    <w:qFormat/>
    <w:rsid w:val="00966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749"/>
    <w:pPr>
      <w:spacing w:before="160"/>
      <w:jc w:val="center"/>
    </w:pPr>
    <w:rPr>
      <w:i/>
      <w:iCs/>
      <w:color w:val="404040" w:themeColor="text1" w:themeTint="BF"/>
    </w:rPr>
  </w:style>
  <w:style w:type="character" w:customStyle="1" w:styleId="QuoteChar">
    <w:name w:val="Quote Char"/>
    <w:basedOn w:val="DefaultParagraphFont"/>
    <w:link w:val="Quote"/>
    <w:uiPriority w:val="29"/>
    <w:rsid w:val="00966749"/>
    <w:rPr>
      <w:i/>
      <w:iCs/>
      <w:color w:val="404040" w:themeColor="text1" w:themeTint="BF"/>
    </w:rPr>
  </w:style>
  <w:style w:type="paragraph" w:styleId="ListParagraph">
    <w:name w:val="List Paragraph"/>
    <w:basedOn w:val="Normal"/>
    <w:uiPriority w:val="34"/>
    <w:qFormat/>
    <w:rsid w:val="00966749"/>
    <w:pPr>
      <w:ind w:left="720"/>
      <w:contextualSpacing/>
    </w:pPr>
  </w:style>
  <w:style w:type="character" w:styleId="IntenseEmphasis">
    <w:name w:val="Intense Emphasis"/>
    <w:basedOn w:val="DefaultParagraphFont"/>
    <w:uiPriority w:val="21"/>
    <w:qFormat/>
    <w:rsid w:val="00966749"/>
    <w:rPr>
      <w:i/>
      <w:iCs/>
      <w:color w:val="0F4761" w:themeColor="accent1" w:themeShade="BF"/>
    </w:rPr>
  </w:style>
  <w:style w:type="paragraph" w:styleId="IntenseQuote">
    <w:name w:val="Intense Quote"/>
    <w:basedOn w:val="Normal"/>
    <w:next w:val="Normal"/>
    <w:link w:val="IntenseQuoteChar"/>
    <w:uiPriority w:val="30"/>
    <w:qFormat/>
    <w:rsid w:val="00966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749"/>
    <w:rPr>
      <w:i/>
      <w:iCs/>
      <w:color w:val="0F4761" w:themeColor="accent1" w:themeShade="BF"/>
    </w:rPr>
  </w:style>
  <w:style w:type="character" w:styleId="IntenseReference">
    <w:name w:val="Intense Reference"/>
    <w:basedOn w:val="DefaultParagraphFont"/>
    <w:uiPriority w:val="32"/>
    <w:qFormat/>
    <w:rsid w:val="00966749"/>
    <w:rPr>
      <w:b/>
      <w:bCs/>
      <w:smallCaps/>
      <w:color w:val="0F4761" w:themeColor="accent1" w:themeShade="BF"/>
      <w:spacing w:val="5"/>
    </w:rPr>
  </w:style>
  <w:style w:type="paragraph" w:styleId="Footer">
    <w:name w:val="footer"/>
    <w:basedOn w:val="Normal"/>
    <w:link w:val="FooterChar"/>
    <w:uiPriority w:val="99"/>
    <w:unhideWhenUsed/>
    <w:rsid w:val="00966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Cuchillo</dc:creator>
  <cp:keywords/>
  <dc:description/>
  <cp:lastModifiedBy>R Cuchillo</cp:lastModifiedBy>
  <cp:revision>1</cp:revision>
  <dcterms:created xsi:type="dcterms:W3CDTF">2024-11-13T21:45:00Z</dcterms:created>
  <dcterms:modified xsi:type="dcterms:W3CDTF">2024-11-13T21:47:00Z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2f927ebd,7c9f66c4,67aa39aa</vt:lpwstr>
  </property>
  <property fmtid="{D5CDD505-2E9C-101B-9397-08002B2CF9AE}" pid="3" name="ClassificationContentMarkingFooterFontProps">
    <vt:lpwstr>#000000,10,Calibri</vt:lpwstr>
  </property>
  <property fmtid="{D5CDD505-2E9C-101B-9397-08002B2CF9AE}" pid="4" name="ClassificationContentMarkingFooterText">
    <vt:lpwstr>Restricted - Internal</vt:lpwstr>
  </property>
  <property fmtid="{D5CDD505-2E9C-101B-9397-08002B2CF9AE}" pid="5" name="MSIP_Label_6a5eed2d-f507-487d-9ff3-0d2509888e6d_Enabled">
    <vt:lpwstr>true</vt:lpwstr>
  </property>
  <property fmtid="{D5CDD505-2E9C-101B-9397-08002B2CF9AE}" pid="6" name="MSIP_Label_6a5eed2d-f507-487d-9ff3-0d2509888e6d_SetDate">
    <vt:lpwstr>2024-11-13T21:46:36Z</vt:lpwstr>
  </property>
  <property fmtid="{D5CDD505-2E9C-101B-9397-08002B2CF9AE}" pid="7" name="MSIP_Label_6a5eed2d-f507-487d-9ff3-0d2509888e6d_Method">
    <vt:lpwstr>Standard</vt:lpwstr>
  </property>
  <property fmtid="{D5CDD505-2E9C-101B-9397-08002B2CF9AE}" pid="8" name="MSIP_Label_6a5eed2d-f507-487d-9ff3-0d2509888e6d_Name">
    <vt:lpwstr>Restricted - Internal</vt:lpwstr>
  </property>
  <property fmtid="{D5CDD505-2E9C-101B-9397-08002B2CF9AE}" pid="9" name="MSIP_Label_6a5eed2d-f507-487d-9ff3-0d2509888e6d_SiteId">
    <vt:lpwstr>9ff87383-ae93-4e4b-85fd-e21685c0431c</vt:lpwstr>
  </property>
  <property fmtid="{D5CDD505-2E9C-101B-9397-08002B2CF9AE}" pid="10" name="MSIP_Label_6a5eed2d-f507-487d-9ff3-0d2509888e6d_ActionId">
    <vt:lpwstr>914cc8cb-d4af-4f77-9f63-8efe70d3f46d</vt:lpwstr>
  </property>
  <property fmtid="{D5CDD505-2E9C-101B-9397-08002B2CF9AE}" pid="11" name="MSIP_Label_6a5eed2d-f507-487d-9ff3-0d2509888e6d_ContentBits">
    <vt:lpwstr>2</vt:lpwstr>
  </property>
</Properties>
</file>