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6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363"/>
      </w:tblGrid>
      <w:tr w:rsidR="00F24965" w:rsidRPr="00990745" w14:paraId="54E0474B" w14:textId="77777777" w:rsidTr="00990745">
        <w:tc>
          <w:tcPr>
            <w:tcW w:w="993" w:type="dxa"/>
            <w:tcBorders>
              <w:top w:val="single" w:sz="4" w:space="0" w:color="auto"/>
            </w:tcBorders>
          </w:tcPr>
          <w:p w14:paraId="2017DD67" w14:textId="77777777" w:rsidR="00F24965" w:rsidRPr="00990745" w:rsidRDefault="00F24965">
            <w:pPr>
              <w:rPr>
                <w:b/>
                <w:sz w:val="20"/>
                <w:szCs w:val="20"/>
              </w:rPr>
            </w:pPr>
            <w:r w:rsidRPr="00990745">
              <w:rPr>
                <w:b/>
                <w:sz w:val="20"/>
                <w:szCs w:val="20"/>
              </w:rPr>
              <w:t>To:</w:t>
            </w:r>
          </w:p>
        </w:tc>
        <w:tc>
          <w:tcPr>
            <w:tcW w:w="8363" w:type="dxa"/>
            <w:tcBorders>
              <w:top w:val="single" w:sz="4" w:space="0" w:color="auto"/>
            </w:tcBorders>
          </w:tcPr>
          <w:p w14:paraId="4E9568BF" w14:textId="660B5936" w:rsidR="00F24965" w:rsidRPr="00990745" w:rsidRDefault="00541E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Anna</w:t>
            </w:r>
          </w:p>
        </w:tc>
      </w:tr>
      <w:tr w:rsidR="00F24965" w:rsidRPr="00990745" w14:paraId="37773228" w14:textId="77777777" w:rsidTr="00990745">
        <w:tc>
          <w:tcPr>
            <w:tcW w:w="993" w:type="dxa"/>
          </w:tcPr>
          <w:p w14:paraId="3B1BF544" w14:textId="77777777" w:rsidR="00F24965" w:rsidRPr="00990745" w:rsidRDefault="00F24965">
            <w:pPr>
              <w:rPr>
                <w:b/>
                <w:sz w:val="20"/>
                <w:szCs w:val="20"/>
              </w:rPr>
            </w:pPr>
            <w:r w:rsidRPr="00990745">
              <w:rPr>
                <w:b/>
                <w:sz w:val="20"/>
                <w:szCs w:val="20"/>
              </w:rPr>
              <w:t>From:</w:t>
            </w:r>
          </w:p>
        </w:tc>
        <w:tc>
          <w:tcPr>
            <w:tcW w:w="8363" w:type="dxa"/>
          </w:tcPr>
          <w:p w14:paraId="3A9D168F" w14:textId="03B3CD93" w:rsidR="00F24965" w:rsidRPr="00990745" w:rsidRDefault="00B644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Shivang</w:t>
            </w:r>
          </w:p>
        </w:tc>
      </w:tr>
      <w:tr w:rsidR="00F24965" w:rsidRPr="00990745" w14:paraId="376B537F" w14:textId="77777777" w:rsidTr="00990745">
        <w:trPr>
          <w:trHeight w:val="320"/>
        </w:trPr>
        <w:tc>
          <w:tcPr>
            <w:tcW w:w="993" w:type="dxa"/>
            <w:tcBorders>
              <w:bottom w:val="single" w:sz="4" w:space="0" w:color="auto"/>
            </w:tcBorders>
          </w:tcPr>
          <w:p w14:paraId="72CC09EF" w14:textId="77777777" w:rsidR="00F24965" w:rsidRPr="00990745" w:rsidRDefault="00F24965">
            <w:pPr>
              <w:rPr>
                <w:b/>
                <w:sz w:val="20"/>
                <w:szCs w:val="20"/>
              </w:rPr>
            </w:pPr>
            <w:r w:rsidRPr="00990745">
              <w:rPr>
                <w:b/>
                <w:sz w:val="20"/>
                <w:szCs w:val="20"/>
              </w:rPr>
              <w:t>Subject:</w:t>
            </w:r>
          </w:p>
        </w:tc>
        <w:tc>
          <w:tcPr>
            <w:tcW w:w="8363" w:type="dxa"/>
            <w:tcBorders>
              <w:bottom w:val="single" w:sz="4" w:space="0" w:color="auto"/>
            </w:tcBorders>
          </w:tcPr>
          <w:p w14:paraId="18A61B20" w14:textId="0A606A1E" w:rsidR="00F24965" w:rsidRPr="00990745" w:rsidRDefault="00541E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Subject</w:t>
            </w:r>
          </w:p>
        </w:tc>
      </w:tr>
      <w:tr w:rsidR="00990745" w:rsidRPr="00990745" w14:paraId="452EA0B5" w14:textId="77777777" w:rsidTr="00990745">
        <w:trPr>
          <w:trHeight w:val="12760"/>
        </w:trPr>
        <w:tc>
          <w:tcPr>
            <w:tcW w:w="9356" w:type="dxa"/>
            <w:gridSpan w:val="2"/>
            <w:tcBorders>
              <w:top w:val="single" w:sz="4" w:space="0" w:color="auto"/>
            </w:tcBorders>
          </w:tcPr>
          <w:p w14:paraId="50D61CE4" w14:textId="77777777" w:rsidR="00990745" w:rsidRPr="00990745" w:rsidRDefault="00990745" w:rsidP="00990745">
            <w:pPr>
              <w:rPr>
                <w:sz w:val="20"/>
                <w:szCs w:val="20"/>
              </w:rPr>
            </w:pPr>
          </w:p>
          <w:p w14:paraId="0D5661BB" w14:textId="0734D435" w:rsidR="00AF616A" w:rsidRPr="00AF616A" w:rsidRDefault="00541EC3" w:rsidP="003906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Hey Anna, </w:t>
            </w:r>
          </w:p>
          <w:p w14:paraId="6B8E06B7" w14:textId="77777777" w:rsidR="00AF616A" w:rsidRPr="006624F4" w:rsidRDefault="00AF616A" w:rsidP="006624F4">
            <w:pPr>
              <w:rPr>
                <w:sz w:val="20"/>
                <w:szCs w:val="20"/>
              </w:rPr>
            </w:pPr>
          </w:p>
          <w:p w14:paraId="6EBA3190" w14:textId="333CA84D" w:rsidR="006624F4" w:rsidRDefault="00541EC3" w:rsidP="00DC30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PFA the table for the potential targets</w:t>
            </w:r>
          </w:p>
          <w:p w14:paraId="5D68EA3A" w14:textId="77777777" w:rsidR="00DC3063" w:rsidRPr="00DC3063" w:rsidRDefault="00DC3063" w:rsidP="00DC3063">
            <w:pPr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40"/>
              <w:gridCol w:w="2647"/>
              <w:gridCol w:w="2893"/>
              <w:gridCol w:w="2350"/>
            </w:tblGrid>
            <w:tr w:rsidR="009B6A6C" w:rsidRPr="00757AEB" w14:paraId="421F4B46" w14:textId="77777777" w:rsidTr="009318F6">
              <w:tc>
                <w:tcPr>
                  <w:tcW w:w="1240" w:type="dxa"/>
                </w:tcPr>
                <w:p w14:paraId="60517C97" w14:textId="77777777" w:rsidR="009B6A6C" w:rsidRPr="00757AEB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757AEB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Company</w:t>
                  </w:r>
                </w:p>
              </w:tc>
              <w:tc>
                <w:tcPr>
                  <w:tcW w:w="2647" w:type="dxa"/>
                </w:tcPr>
                <w:p w14:paraId="3125A531" w14:textId="77777777" w:rsidR="009B6A6C" w:rsidRPr="00757AEB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757AEB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2893" w:type="dxa"/>
                </w:tcPr>
                <w:p w14:paraId="0C3F17B4" w14:textId="77777777" w:rsidR="009B6A6C" w:rsidRPr="00757AEB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757AEB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Relevance to WorldWide Brewing</w:t>
                  </w:r>
                </w:p>
                <w:p w14:paraId="6B7D1221" w14:textId="77777777" w:rsidR="009B6A6C" w:rsidRPr="00757AEB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50" w:type="dxa"/>
                </w:tcPr>
                <w:p w14:paraId="382D6F9A" w14:textId="77777777" w:rsidR="009B6A6C" w:rsidRPr="00757AEB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Recommendation</w:t>
                  </w:r>
                </w:p>
              </w:tc>
            </w:tr>
            <w:tr w:rsidR="009B6A6C" w:rsidRPr="007773A3" w14:paraId="316921FD" w14:textId="77777777" w:rsidTr="009318F6">
              <w:tc>
                <w:tcPr>
                  <w:tcW w:w="1240" w:type="dxa"/>
                </w:tcPr>
                <w:p w14:paraId="45979E96" w14:textId="77777777" w:rsidR="009B6A6C" w:rsidRPr="00757AEB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757AEB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HappyHour Co.</w:t>
                  </w:r>
                </w:p>
              </w:tc>
              <w:tc>
                <w:tcPr>
                  <w:tcW w:w="2647" w:type="dxa"/>
                </w:tcPr>
                <w:p w14:paraId="64ABB862" w14:textId="77777777" w:rsidR="009B6A6C" w:rsidRPr="00757AEB" w:rsidRDefault="009B6A6C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>HappyHour Co. is the largest player in Singapore and Malaysia, in the segments of beer, spirits and non-alcoholic beverages. Its operations include manufacturing facilities, distribution and direct sales and it has demonstrated strong growth in EBITDA in FY2020 which was up 20% pcp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 and amounted to US$300mm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2893" w:type="dxa"/>
                </w:tcPr>
                <w:p w14:paraId="2ACD63EA" w14:textId="77777777" w:rsidR="009B6A6C" w:rsidRPr="00757AEB" w:rsidRDefault="009B6A6C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sz w:val="20"/>
                      <w:szCs w:val="20"/>
                    </w:rPr>
                    <w:t>It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 has similar operations to WorldWide Brewing across the same segments and is the leading player in Singapore and Malaysia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>, suggesting the potential for strategic benefits and synergies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. It has solid financial results and 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>an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 ownership structure that is owned by 3 families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>,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20"/>
                      <w:szCs w:val="20"/>
                    </w:rPr>
                    <w:t xml:space="preserve">rendering a potential </w:t>
                  </w:r>
                  <w:r w:rsidRPr="00757AEB">
                    <w:rPr>
                      <w:rFonts w:ascii="Calibri" w:hAnsi="Calibri" w:cs="Calibri"/>
                      <w:sz w:val="20"/>
                      <w:szCs w:val="20"/>
                    </w:rPr>
                    <w:t>acquisition relatively simple and feasible. HappyHour Co. would be appropriate to share.</w:t>
                  </w:r>
                </w:p>
              </w:tc>
              <w:tc>
                <w:tcPr>
                  <w:tcW w:w="2350" w:type="dxa"/>
                </w:tcPr>
                <w:p w14:paraId="247ED975" w14:textId="401CA336" w:rsidR="009B6A6C" w:rsidRPr="007773A3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Recommend</w:t>
                  </w:r>
                </w:p>
              </w:tc>
            </w:tr>
            <w:tr w:rsidR="009B6A6C" w:rsidRPr="007773A3" w14:paraId="4B9C7CCF" w14:textId="77777777" w:rsidTr="009318F6">
              <w:tc>
                <w:tcPr>
                  <w:tcW w:w="1240" w:type="dxa"/>
                </w:tcPr>
                <w:p w14:paraId="682DFD08" w14:textId="72DEB6F4" w:rsidR="009B6A6C" w:rsidRDefault="00541EC3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541EC3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Spirit Bay</w:t>
                  </w:r>
                </w:p>
                <w:p w14:paraId="0D965103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761DD652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1F8730EC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5153DA7F" w14:textId="71B3F33C" w:rsidR="009B6A6C" w:rsidRPr="00757AEB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647" w:type="dxa"/>
                </w:tcPr>
                <w:p w14:paraId="18F2157A" w14:textId="01C81959" w:rsidR="009B6A6C" w:rsidRPr="00757AEB" w:rsidRDefault="00541EC3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t>Thriving in Indonesia, Singapore, and Malaysia, employee-owned, achieves impressive 40% YoY EBITDA growth, fostering market adaptability.</w:t>
                  </w:r>
                </w:p>
              </w:tc>
              <w:tc>
                <w:tcPr>
                  <w:tcW w:w="2893" w:type="dxa"/>
                </w:tcPr>
                <w:p w14:paraId="1A2EB85F" w14:textId="41CC482F" w:rsidR="009B6A6C" w:rsidRDefault="00541EC3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t>With a strong foothold in Indonesia, Singapore, and Malaysia, Spirit Bay's impressive EBITDA growth of 40% YoY underscores its market dexterity. The employee ownership structure coupled with a well-entrenched distribution network enhances its potential for sustainable growth.</w:t>
                  </w:r>
                </w:p>
              </w:tc>
              <w:tc>
                <w:tcPr>
                  <w:tcW w:w="2350" w:type="dxa"/>
                </w:tcPr>
                <w:p w14:paraId="0D63E031" w14:textId="1CE7D844" w:rsidR="009B6A6C" w:rsidRDefault="00541EC3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Recommend</w:t>
                  </w:r>
                </w:p>
              </w:tc>
            </w:tr>
            <w:tr w:rsidR="009B6A6C" w:rsidRPr="007773A3" w14:paraId="42F211ED" w14:textId="77777777" w:rsidTr="009318F6">
              <w:tc>
                <w:tcPr>
                  <w:tcW w:w="1240" w:type="dxa"/>
                </w:tcPr>
                <w:p w14:paraId="1D52A033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6099C0D4" w14:textId="0990FCD2" w:rsidR="009B6A6C" w:rsidRDefault="00541EC3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</w:rPr>
                    <w:t>Hipsters’ Ale</w:t>
                  </w:r>
                </w:p>
                <w:p w14:paraId="39C9B5A1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4A5F2EC8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08AFD947" w14:textId="0A49C034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647" w:type="dxa"/>
                </w:tcPr>
                <w:p w14:paraId="5D2F20CE" w14:textId="4723C449" w:rsidR="009B6A6C" w:rsidRPr="00757AEB" w:rsidRDefault="00541EC3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t>Multi-region consortium of independent microbreweries, registers 15% YoY EBITDA growth, reflecting diversified market resilience.</w:t>
                  </w:r>
                </w:p>
              </w:tc>
              <w:tc>
                <w:tcPr>
                  <w:tcW w:w="2893" w:type="dxa"/>
                </w:tcPr>
                <w:p w14:paraId="740A5886" w14:textId="04FFCAB1" w:rsidR="009B6A6C" w:rsidRDefault="00541EC3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t>Operating across diverse locations and a consortium of independent microbreweries, Hipsters' Ale presents a unique proposition. Its incremental EBITDA growth of 15% YoY indicates resilience and adaptability in varied markets</w:t>
                  </w:r>
                </w:p>
              </w:tc>
              <w:tc>
                <w:tcPr>
                  <w:tcW w:w="2350" w:type="dxa"/>
                </w:tcPr>
                <w:p w14:paraId="4BF2F6C7" w14:textId="3DDBA89C" w:rsidR="009B6A6C" w:rsidRDefault="00541EC3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Recommend</w:t>
                  </w:r>
                </w:p>
              </w:tc>
            </w:tr>
            <w:tr w:rsidR="009B6A6C" w:rsidRPr="007773A3" w14:paraId="4B9B75B0" w14:textId="77777777" w:rsidTr="009318F6">
              <w:tc>
                <w:tcPr>
                  <w:tcW w:w="1240" w:type="dxa"/>
                </w:tcPr>
                <w:p w14:paraId="3A4FDEF2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27271D95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6CB58894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06DF251F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18235D7E" w14:textId="28C3E098" w:rsidR="009B6A6C" w:rsidRDefault="00541EC3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</w:rPr>
                    <w:t>Brew Co.</w:t>
                  </w:r>
                </w:p>
              </w:tc>
              <w:tc>
                <w:tcPr>
                  <w:tcW w:w="2647" w:type="dxa"/>
                </w:tcPr>
                <w:p w14:paraId="1FC65F4D" w14:textId="204C8EE2" w:rsidR="009B6A6C" w:rsidRPr="00757AEB" w:rsidRDefault="00541EC3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t>Dominant alcohol manufacturer in Malaysia, listed on stock exchange, EBITDA down 5% YoY but maintains strong market position.</w:t>
                  </w:r>
                </w:p>
              </w:tc>
              <w:tc>
                <w:tcPr>
                  <w:tcW w:w="2893" w:type="dxa"/>
                </w:tcPr>
                <w:p w14:paraId="1842CD1D" w14:textId="71B39942" w:rsidR="009B6A6C" w:rsidRDefault="00541EC3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t>As a dominant alcohol manufacturer in Malaysia, Brew Co.'s status on the Malaysian stock exchange will create a problem during MnA</w:t>
                  </w:r>
                </w:p>
              </w:tc>
              <w:tc>
                <w:tcPr>
                  <w:tcW w:w="2350" w:type="dxa"/>
                </w:tcPr>
                <w:p w14:paraId="55C39798" w14:textId="344F30B3" w:rsidR="009B6A6C" w:rsidRDefault="00541EC3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N</w:t>
                  </w:r>
                  <w:r w:rsidRPr="00541EC3">
                    <w:rPr>
                      <w:b/>
                      <w:bCs/>
                    </w:rPr>
                    <w:t>ot</w:t>
                  </w:r>
                  <w:r>
                    <w:t xml:space="preserve"> </w:t>
                  </w: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Recommend</w:t>
                  </w:r>
                </w:p>
              </w:tc>
            </w:tr>
            <w:tr w:rsidR="009B6A6C" w:rsidRPr="007773A3" w14:paraId="14806F80" w14:textId="77777777" w:rsidTr="009318F6">
              <w:tc>
                <w:tcPr>
                  <w:tcW w:w="1240" w:type="dxa"/>
                </w:tcPr>
                <w:p w14:paraId="6EC317CC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189BB501" w14:textId="09C6997E" w:rsidR="009B6A6C" w:rsidRDefault="00541EC3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</w:rPr>
                    <w:t>Bevy’s Direct</w:t>
                  </w:r>
                </w:p>
                <w:p w14:paraId="29AAD35F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3B2496FB" w14:textId="77777777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  <w:p w14:paraId="1A658F42" w14:textId="197BBD94" w:rsidR="009B6A6C" w:rsidRDefault="009B6A6C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647" w:type="dxa"/>
                </w:tcPr>
                <w:p w14:paraId="45359624" w14:textId="680EEFFE" w:rsidR="009B6A6C" w:rsidRPr="00757AEB" w:rsidRDefault="00541EC3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lastRenderedPageBreak/>
                    <w:t xml:space="preserve">Extensive distribution across major Asian markets, family-owned, </w:t>
                  </w:r>
                  <w:r>
                    <w:lastRenderedPageBreak/>
                    <w:t>sustains 20% YoY EBITDA growth, offering widespread market reach.</w:t>
                  </w:r>
                </w:p>
              </w:tc>
              <w:tc>
                <w:tcPr>
                  <w:tcW w:w="2893" w:type="dxa"/>
                </w:tcPr>
                <w:p w14:paraId="33CDC1A4" w14:textId="78A7BC35" w:rsidR="009B6A6C" w:rsidRDefault="00541EC3" w:rsidP="009B6A6C">
                  <w:pPr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lastRenderedPageBreak/>
                    <w:t xml:space="preserve">Bevy’s Direct boasts a widespread distribution network encompassing </w:t>
                  </w:r>
                  <w:r>
                    <w:lastRenderedPageBreak/>
                    <w:t>multiple key Asian markets. Its consistent EBITDA growth of 20% YoY, coupled with a family-owned structure, aligns well with your business ethos.</w:t>
                  </w:r>
                </w:p>
              </w:tc>
              <w:tc>
                <w:tcPr>
                  <w:tcW w:w="2350" w:type="dxa"/>
                </w:tcPr>
                <w:p w14:paraId="778A6CE4" w14:textId="52D92CA3" w:rsidR="009B6A6C" w:rsidRDefault="00541EC3" w:rsidP="009B6A6C">
                  <w:pP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lastRenderedPageBreak/>
                    <w:t>Recommend</w:t>
                  </w:r>
                </w:p>
              </w:tc>
            </w:tr>
          </w:tbl>
          <w:p w14:paraId="0A5AED62" w14:textId="77777777" w:rsidR="00DC3063" w:rsidRPr="00DC3063" w:rsidRDefault="00DC3063" w:rsidP="00DC3063">
            <w:pPr>
              <w:rPr>
                <w:sz w:val="20"/>
                <w:szCs w:val="20"/>
              </w:rPr>
            </w:pPr>
          </w:p>
          <w:p w14:paraId="475DD3B3" w14:textId="29EB73AE" w:rsidR="009B6A6C" w:rsidRDefault="00541EC3" w:rsidP="009B6A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Regards, </w:t>
            </w:r>
          </w:p>
          <w:p w14:paraId="4819FFEE" w14:textId="5CBE6929" w:rsidR="00541EC3" w:rsidRPr="00AF616A" w:rsidRDefault="00B64430" w:rsidP="009B6A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Shivang Jaiswal</w:t>
            </w:r>
          </w:p>
          <w:p w14:paraId="29AC49A7" w14:textId="77777777" w:rsidR="00DC3063" w:rsidRPr="00DC3063" w:rsidRDefault="00DC3063" w:rsidP="00DC3063">
            <w:pPr>
              <w:rPr>
                <w:sz w:val="20"/>
                <w:szCs w:val="20"/>
              </w:rPr>
            </w:pPr>
          </w:p>
          <w:p w14:paraId="5CF1D96A" w14:textId="3BFE666D" w:rsidR="00DC3063" w:rsidRPr="00990745" w:rsidRDefault="00DC3063" w:rsidP="00DC3063">
            <w:pPr>
              <w:rPr>
                <w:b/>
                <w:i/>
                <w:sz w:val="20"/>
                <w:szCs w:val="20"/>
              </w:rPr>
            </w:pPr>
          </w:p>
        </w:tc>
      </w:tr>
    </w:tbl>
    <w:p w14:paraId="28D81A7E" w14:textId="77777777" w:rsidR="003D795B" w:rsidRPr="00990745" w:rsidRDefault="003D795B">
      <w:pPr>
        <w:rPr>
          <w:sz w:val="20"/>
          <w:szCs w:val="20"/>
        </w:rPr>
      </w:pPr>
    </w:p>
    <w:sectPr w:rsidR="003D795B" w:rsidRPr="00990745" w:rsidSect="00990745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92CE5"/>
    <w:multiLevelType w:val="hybridMultilevel"/>
    <w:tmpl w:val="EE6086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67284"/>
    <w:multiLevelType w:val="hybridMultilevel"/>
    <w:tmpl w:val="8A0E9F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B13FC"/>
    <w:multiLevelType w:val="hybridMultilevel"/>
    <w:tmpl w:val="D78E1C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116753">
    <w:abstractNumId w:val="1"/>
  </w:num>
  <w:num w:numId="2" w16cid:durableId="1939094624">
    <w:abstractNumId w:val="2"/>
  </w:num>
  <w:num w:numId="3" w16cid:durableId="1493369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965"/>
    <w:rsid w:val="000D64E1"/>
    <w:rsid w:val="001931C6"/>
    <w:rsid w:val="0039065E"/>
    <w:rsid w:val="003D795B"/>
    <w:rsid w:val="004F2ECF"/>
    <w:rsid w:val="00541EC3"/>
    <w:rsid w:val="006624F4"/>
    <w:rsid w:val="006776F6"/>
    <w:rsid w:val="00861BD9"/>
    <w:rsid w:val="008E07B5"/>
    <w:rsid w:val="00990745"/>
    <w:rsid w:val="009B6A6C"/>
    <w:rsid w:val="00AF0A56"/>
    <w:rsid w:val="00AF616A"/>
    <w:rsid w:val="00B64430"/>
    <w:rsid w:val="00DC3063"/>
    <w:rsid w:val="00DC50E8"/>
    <w:rsid w:val="00DD42CB"/>
    <w:rsid w:val="00E2685D"/>
    <w:rsid w:val="00EC7B2A"/>
    <w:rsid w:val="00F2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AD3E8"/>
  <w15:chartTrackingRefBased/>
  <w15:docId w15:val="{2F9D72CC-4BD6-4934-A49A-DC76B10CB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4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074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41E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Jensen</dc:creator>
  <cp:keywords/>
  <dc:description/>
  <cp:lastModifiedBy>Shivang Jaiswal</cp:lastModifiedBy>
  <cp:revision>5</cp:revision>
  <cp:lastPrinted>2018-09-03T23:29:00Z</cp:lastPrinted>
  <dcterms:created xsi:type="dcterms:W3CDTF">2020-04-30T07:35:00Z</dcterms:created>
  <dcterms:modified xsi:type="dcterms:W3CDTF">2023-08-17T19:49:00Z</dcterms:modified>
</cp:coreProperties>
</file>