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Projektowanie UX – Laboratorium 3</w:t>
      </w:r>
    </w:p>
    <w:p>
      <w:r>
        <w:rPr>
          <w:b/>
        </w:rPr>
        <w:t>Budowa modelu szkieletowego interfejsu użytkownika: makiety mid-fi, biblioteka komponentów i prototyp</w:t>
      </w:r>
    </w:p>
    <w:p>
      <w:r>
        <w:t>Rok studiów 1 SU, Semestr 2</w:t>
      </w:r>
    </w:p>
    <w:p>
      <w:r>
        <w:t>Autor: Yahor Falkouski Data: 22.10.2026</w:t>
      </w:r>
    </w:p>
    <w:p>
      <w:pPr>
        <w:pStyle w:val="Heading2"/>
      </w:pPr>
      <w:r>
        <w:t>Zakres i kontynuacja</w:t>
      </w:r>
    </w:p>
    <w:p>
      <w:r>
        <w:t>Projekt kontynuuje aplikację mobilną do zarządzania domowym budżetem, analizowaną w laboratoriach 1 i 2. Z laboratorium 2 pochodzą dwie persony i wynikające z nich twarde ograniczenia projektowe: Katarzyna (42 lata, tryb automatyczny, oczekuje pracy aplikacji w tle) oraz Henryk (68 lat, tryb ręczny, wymaga dużych elementów, płaskiej nawigacji i pełnej kontroli nad danymi). Niniejszy raport przenosi te wymagania na model szkieletowy: architekturę widoków, bibliotekę komponentów z wariantami, stany interfejsu oraz mapę prototypu.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Wymaganie z lab. 1–2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Źródło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Konsekwencja dla makiety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Wpis transakcji poniżej 1 minuty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Ankieta: 78% rezygnuje przy dłuższym wpisie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Formularz z 4 polami, kwota aktywna jako pierwsza, akcja główna zawsze widoczna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Korekta w maks. 2 kliknięciach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Ankieta: 36% rezygnuje po błędnej kategoryzacji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Przycisk „Zmień” przy każdym polu na ekranie szczegółów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Dwa równorzędne tryby pracy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Konflikt Katarzyna / Henryk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Wariant „auto” i „ręczny” jako właściwość komponentów, nie osobny projekt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Czytelność i dostępność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Henryk: małe czcionki, ukryte opcje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Minimum 17 px treści, cele dotykowe 48 × 48 px, kontrast WCAG AA, menu bez zagnieżdżeń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Algorytm proponuje, użytkownik decyduje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Henryk: błędy autokategoryzacji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Znacznik „auto” przy pozycji i widoczna ścieżka cofnięcia</w:t>
            </w:r>
          </w:p>
        </w:tc>
      </w:tr>
    </w:tbl>
    <w:p/>
    <w:p>
      <w:pPr>
        <w:pStyle w:val="Heading3"/>
      </w:pPr>
      <w:r>
        <w:t>Uwaga metodyczna dotycząca narzędzi</w:t>
      </w:r>
    </w:p>
    <w:p>
      <w:r>
        <w:t>Makiety mid-fi zbudowano w HTML i CSS, a zrzuty zrenderowano w przeglądarce w rozdzielczości urządzenia 390 × 844 px. Mechanizm pracy odpowiada narzędziom zalecanym w instrukcji (Figma, Penpot): wartości kolorów, typografii, odstępów i czasów animacji są zdefiniowane jako tokeny (zmienne) w jednym miejscu, a elementy ekranów są instancjami komponentów głównych opisanych w rozdziale 2. Zmiana tokenu lub definicji komponentu propaguje się na wszystkie ekrany — tak samo jak zmiana Main Component i Variants w Figmie. Pliki źródłowe makiet znajdują się w katalogu lab3/wireframes/src.</w:t>
      </w:r>
    </w:p>
    <w:p>
      <w:pPr>
        <w:pStyle w:val="Heading1"/>
      </w:pPr>
      <w:r>
        <w:t>1. Architektura widoków</w:t>
      </w:r>
    </w:p>
    <w:p>
      <w:r>
        <w:t>Projekt obejmuje cztery ekrany bazowe i pięć stanów pochodnych (nakładki oraz stany brzegowe). Minimum wymagane w zadaniu — pulpit, formularz edycji danych i widok szczegółów ze stanami awaryjnymi — realizują ekrany 2, 4 i 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</w:tcPr>
          <w:p>
            <w:r/>
            <w:r>
              <w:rPr>
                <w:b/>
                <w:sz w:val="19"/>
              </w:rPr>
              <w:t>Nr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9"/>
              </w:rPr>
              <w:t>Ekran</w:t>
            </w:r>
          </w:p>
        </w:tc>
        <w:tc>
          <w:tcPr>
            <w:tcW w:type="dxa" w:w="2376"/>
          </w:tcPr>
          <w:p>
            <w:r/>
            <w:r>
              <w:rPr>
                <w:b/>
                <w:sz w:val="19"/>
              </w:rPr>
              <w:t>Cel użytkownika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Kluczowe elementy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9"/>
              </w:rPr>
              <w:t>Persona wiodąca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Onboarding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Wybór trybu pracy aplikacji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Dwie karty wyboru: automatyczny / ręczny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A i B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Pulpit (Dashboard)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Sprawdzić stan limitu w kilka sekund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Karta limitu, wykres kołowy, lista transakcji, akcja „Dodaj”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A (Katarzyna)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Szczegóły transakcji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Sprawdzić i poprawić pojedynczy wpis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Nagłówek kwoty, pola z akcją „Zmień”, wpływ na limit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B (Henryk)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Formularz edycji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Dodać lub zmienić transakcję poniżej minuty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Kwota, opis, kategoria, data, drzewo kategorii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B (Henryk)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2a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Menu boczne (overlay)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Dotrzeć do dowolnej sekcji bez zagnieżdżeń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Lista pozycji na jednym poziomie, przełącznik trybu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B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2b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Raport miesięczny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Zobaczyć podsumowanie okresu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Wykres w pełnej skali, zmiana widoku bez przeładowania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A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3a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Modal potwierdzenia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Zabezpieczyć akcję nieodwracalną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Pytanie, skutek, „Usuń” / „Anuluj”, cofnięcie 10 s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A i B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3b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Stan offline / błąd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Zrozumieć, że dane są niepełne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Baner offline, błąd wczytania, stan pusty, blokada edycji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A i B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4a / 4b</w:t>
            </w:r>
          </w:p>
        </w:tc>
        <w:tc>
          <w:tcPr>
            <w:tcW w:type="dxa" w:w="1800"/>
          </w:tcPr>
          <w:p>
            <w:r/>
            <w:r>
              <w:rPr>
                <w:sz w:val="19"/>
              </w:rPr>
              <w:t>Błąd walidacji / zapisywanie</w:t>
            </w:r>
          </w:p>
        </w:tc>
        <w:tc>
          <w:tcPr>
            <w:tcW w:type="dxa" w:w="2376"/>
          </w:tcPr>
          <w:p>
            <w:r/>
            <w:r>
              <w:rPr>
                <w:sz w:val="19"/>
              </w:rPr>
              <w:t>Poprawić dane i zobaczyć postęp zapisu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Pola w stanie error, przycisk w stanie loading</w:t>
            </w:r>
          </w:p>
        </w:tc>
        <w:tc>
          <w:tcPr>
            <w:tcW w:type="dxa" w:w="1368"/>
          </w:tcPr>
          <w:p>
            <w:r/>
            <w:r>
              <w:rPr>
                <w:sz w:val="19"/>
              </w:rPr>
              <w:t>A i 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53674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dashboa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5367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Ekran 2 — Pulpit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8754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6_deta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875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Ekran 3 — Szczegóły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427802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form_defaul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42780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Ekran 4 — Formularz</w:t>
            </w:r>
          </w:p>
        </w:tc>
      </w:tr>
    </w:tbl>
    <w:p>
      <w:pPr>
        <w:spacing w:after="200"/>
        <w:jc w:val="center"/>
      </w:pPr>
      <w:r>
        <w:rPr>
          <w:i/>
          <w:color w:val="6B6B6B"/>
          <w:sz w:val="18"/>
        </w:rPr>
        <w:t>Rys. 1. Trzy powiązane ekrany bazowe. Pulpit prowadzi do szczegółów (dotknięcie wiersza), szczegóły do formularza (przycisk „Edytuj”).</w:t>
      </w:r>
    </w:p>
    <w:p>
      <w:pPr>
        <w:pStyle w:val="Heading2"/>
      </w:pPr>
      <w:r>
        <w:t>1.1 Siatka, hierarchia i zasięg kciuka</w:t>
      </w:r>
    </w:p>
    <w:p>
      <w:r>
        <w:t>Zastosowano siatkę elastyczną: 4 kolumny, margines zewnętrzny 16 px, gutter 16 px. Wszystkie odstępy pochodzą ze skali 4 / 8 / 12 / 16 / 24 / 32 px, dzięki czemu makieta jest gotowa do przeskalowania na szersze ekrany (na tablecie ta sama siatka rozwija się do 8 kolumn, a lista transakcji przechodzi obok wykresu).</w:t>
      </w:r>
    </w:p>
    <w:p>
      <w:pPr>
        <w:pStyle w:val="ListBullet"/>
      </w:pPr>
      <w:r>
        <w:t>Hierarchia pionowa zgodna ze wzorcem F: najpierw stan limitu (największy stopień pisma, 30 px), potem wykres, na końcu lista transakcji.</w:t>
      </w:r>
    </w:p>
    <w:p>
      <w:pPr>
        <w:pStyle w:val="ListBullet"/>
      </w:pPr>
      <w:r>
        <w:t>Jedna akcja główna na ekranie, umieszczona w dolnej strefie w zasięgu kciuka; akcje drugorzędne jako wariant secondary lub text.</w:t>
      </w:r>
    </w:p>
    <w:p>
      <w:pPr>
        <w:pStyle w:val="ListBullet"/>
      </w:pPr>
      <w:r>
        <w:t>Stała nawigacja dolna (4 pozycje) oraz menu boczne jako alternatywna droga do tych samych sekcji — płaska struktura bez ukrytych opcji.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4750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dashboard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475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6B6B"/>
          <w:sz w:val="18"/>
        </w:rPr>
        <w:t>Rys. 2. Pulpit z nałożoną siatką 4-kolumnową i opisem kolejności bloków treści.</w:t>
      </w:r>
    </w:p>
    <w:p>
      <w:pPr>
        <w:pStyle w:val="Heading1"/>
      </w:pPr>
      <w:r>
        <w:t>2. Biblioteka komponentów wielokrotnego użytku</w:t>
      </w:r>
    </w:p>
    <w:p>
      <w:r>
        <w:t>Ekrany zbudowano wyłącznie z instancji dziewięciu komponentów głównych. Każdy komponent ma zestaw właściwości (wariantów) oraz stanów; ekran nie zawiera żadnego elementu zdefiniowanego lokalnie.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Komponent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Warianty (właściwości)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Stany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Gdzie używany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Button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primary, secondary, text; rozmiar 48 / 56 px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default, hover, pressed, focus, disabled, loading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Wszystkie ekrany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TextField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tekst, kwota, wybór z listy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default, focus, error, disabled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Formularz, limity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ListItem (transakcja)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ręczna / automatyczna (znacznik „auto”)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default, hover, pressed, pusty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Pulpit, lista transakcji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Chip kategorii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kategoria, „+ nowa”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default, selected, disabled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Pulpit, formularz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Banner / Alert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error, info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statyczny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Formularz, szczegóły, pulpit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ProgressBar limitu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poniżej progu / powyżej progu 80%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statyczny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Pulpit, szczegóły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AppBar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leading = menu | back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default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Wszystkie ekrany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TabBar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aktywna zakładka (4 wartości)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default, active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Ekrany bazowe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Modal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potwierdzenie, informacja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widoczny / ukryty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Nakładki</w:t>
            </w:r>
          </w:p>
        </w:tc>
      </w:tr>
    </w:tbl>
    <w:p/>
    <w:p>
      <w:r>
        <w:t>Korzyść z takiej organizacji jest mierzalna: zwiększenie rozmiaru przycisku z 48 na 56 px dla trybu dostępności wymaga zmiany jednej właściwości komponentu Button, a nie poprawek na dziewięciu ekranach.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4645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64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6B6B"/>
          <w:sz w:val="18"/>
        </w:rPr>
        <w:t>Rys. 3. Biblioteka komponentów głównych wraz z tokenami systemu projektowego.</w:t>
      </w:r>
    </w:p>
    <w:p>
      <w:pPr>
        <w:pStyle w:val="Heading1"/>
      </w:pPr>
      <w:r>
        <w:t>3. Obsługa stanów interfejsu</w:t>
      </w:r>
    </w:p>
    <w:p>
      <w:r>
        <w:t>Stany zdefiniowano dla wszystkich elementów interaktywnych. Zasada przyjęta w projekcie: żaden stan nie jest komunikowany wyłącznie kolorem — każdemu towarzyszy zmiana kształtu, ikona lub tekst, co wynika z wymagań persony B oraz z kryterium WCAG 1.4.1.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Stan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Sygnał wizualny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Dodatkowy sygnał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Zachowanie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Default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Tło akcentu / obrys / sam tekst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Element gotowy do użycia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Hover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Rozjaśnienie o jeden krok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Zmiana kursora (wersja desktop)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Tylko sygnał, bez skutku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Pressed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Ciemniejszy odcień, przesunięcie 1 px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Krótka wibracja (mobile)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Potwierdzenie dotknięcia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Focus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Obwódka 3 px w kolorze akcentu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Kolejność czytana przez czytnik ekranu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Obsługa klawiatury i nawigacji zewnętrznej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Disabled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Tło #DCDCDC, tekst #8F8F8F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Tekst wyjaśniający pod elementem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Brak reakcji na dotknięcie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Loading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Szare tło, spinner, zmiana etykiety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Pola formularza zablokowane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Blokada podwójnego wysłania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Error (walidacja)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Czerwona ramka i tło #FBEAE9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Ikona ostrzeżenia + komunikat tekstowy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Przewinięcie do pierwszego błędnego pola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Empty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Ramka przerywana, tekst zastępczy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Propozycja akcji („+ Dodaj paragon”)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Brak pustego miejsca bez wyjaśnienia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Offline / błąd danych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Baner nad treścią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Znacznik „kopia lokalna”, przycisk „Spróbuj ponownie”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Edycja zablokowana, zapis lokalny możliwy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8754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form_err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875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4a — błąd walidacji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38754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5_form_load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3875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4b — zapisywanie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43599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7_detail_erro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4359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3b — offline i stany awaryjne</w:t>
            </w:r>
          </w:p>
        </w:tc>
      </w:tr>
    </w:tbl>
    <w:p>
      <w:pPr>
        <w:spacing w:after="200"/>
        <w:jc w:val="center"/>
      </w:pPr>
      <w:r>
        <w:rPr>
          <w:i/>
          <w:color w:val="6B6B6B"/>
          <w:sz w:val="18"/>
        </w:rPr>
        <w:t>Rys. 4. Stany brzegowe formularza i widoku szczegółów: walidacja, ładowanie, brak połączenia, błąd wczytania i stan pusty.</w:t>
      </w:r>
    </w:p>
    <w:p>
      <w:r>
        <w:t>Komunikaty błędów sformułowano tak, aby wskazywały działanie, a nie nazwę reguły: „Kwota musi być większa od zera” zamiast „Błąd walidacji pola amount”. Baner zbiorczy na górze formularza podaje liczbę pól do poprawy, co skraca czas korekty przy dłuższych formularzach.</w:t>
      </w:r>
    </w:p>
    <w:p>
      <w:pPr>
        <w:pStyle w:val="Heading1"/>
      </w:pPr>
      <w:r>
        <w:t>4. Prototypowanie zachowań</w:t>
      </w:r>
    </w:p>
    <w:p>
      <w:r>
        <w:t>Ekrany spięto w prototyp o czternastu połączeniach: dziewięciu przejściach do przodu (P1–P9) i pięciu powrotach (W1–W5). Czasy animacji pochodzą z tokenów motion/fast (150 ms), motion/base (250 ms) i motion/slow (400 ms), więc zmiana tempa całego prototypu to zmiana trzech wartości.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96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6B6B"/>
          <w:sz w:val="18"/>
        </w:rPr>
        <w:t>Rys. 5. Mapa prototypu: ekrany bazowe, nakładki, stany pochodne i kierunki przejść.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Połączenie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Wyzwalacz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Animacja</w:t>
            </w:r>
          </w:p>
        </w:tc>
        <w:tc>
          <w:tcPr>
            <w:tcW w:type="dxa" w:w="2664"/>
          </w:tcPr>
          <w:p>
            <w:r/>
            <w:r>
              <w:rPr>
                <w:b/>
                <w:sz w:val="19"/>
              </w:rPr>
              <w:t>Uzasadnienie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Onboarding → Pulpit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Dotknięcie „Zaczynamy”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Slide-in w lewo, 250 ms, ease-out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Kierunek ruchu sygnalizuje postęp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Pulpit → Szczegóły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Dotknięcie wiersza listy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Slide-in w lewo, 250 ms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Pierwsze z dwóch kliknięć korekty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Szczegóły → Formularz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Przycisk „Edytuj transakcję”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Smart Animate, 250 ms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Kwota i nagłówek zachowują pozycję — ciągłość obiektu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Pulpit → Raport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Zakładka „Raport”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Smart Animate, 400 ms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Zmiana widoku bez przeładowania ekranu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Pulpit → Menu boczne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Ikona ≡ lub gest od lewej krawędzi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Move-in, 250 ms, scrim 0 → 45%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Płaska nawigacja, wszystkie sekcje na jednym poziomie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Szczegóły → Modal „Usunąć?”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Przycisk „Usuń”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Dissolve 150 ms + skala 0,96 → 1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Akcja nieodwracalna wymaga potwierdzenia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Formularz → Błąd walidacji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„Zapisz” przy niepoprawnych danych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Dissolve 150 ms + przewinięcie do błędu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Błąd pokazany w miejscu powstania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Szczegóły → Offline / błąd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Brak połączenia przy wejściu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Baner wsuwany z góry, 150 ms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Stan brzegowy zamiast pustego ekranu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P9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Formularz → Zapisywanie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„Zapisz” przy poprawnych danych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Stan loading + opóźnienie 800 ms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Blokada podwójnego wpisu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W1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Formularz → Szczegóły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Wstecz / „Anuluj”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Slide-out w prawo, 250 ms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Powrót bez zapisu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W2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Menu boczne → Pulpit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Dotknięcie przyciemnienia lub ✕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Move-out, 250 ms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Zamknięcie nakładki jednym gestem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W3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Modal → Szczegóły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„Anuluj”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Dissolve 150 ms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Wyjście bez skutków ubocznych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W4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Zapisywanie → Pulpit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Zakończenie zapisu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Smart Animate 250 ms + komunikat „Zapisano. Cofnij” (10 s)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Potwierdzenie i ścieżka cofnięcia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W5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Menu boczne → Raport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Pozycja „Raport miesięczny”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Move-out 250 ms, następnie zmiana widoku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Ten sam cel osiągalny dwiema drogami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57106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8_draw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571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P5 — wysuwane menu boczne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457106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9_mod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4571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B6B6B"/>
                <w:sz w:val="17"/>
              </w:rPr>
              <w:t>P6 — modal potwierdzający akcję</w:t>
            </w:r>
          </w:p>
        </w:tc>
      </w:tr>
    </w:tbl>
    <w:p>
      <w:pPr>
        <w:spacing w:after="200"/>
        <w:jc w:val="center"/>
      </w:pPr>
      <w:r>
        <w:rPr>
          <w:i/>
          <w:color w:val="6B6B6B"/>
          <w:sz w:val="18"/>
        </w:rPr>
        <w:t>Rys. 6. Dwa zaawansowane przejścia prototypu: nakładka menu bocznego i modal potwierdzenia.</w:t>
      </w:r>
    </w:p>
    <w:p>
      <w:r>
        <w:t>Przy włączonej systemowej opcji „Ogranicz ruch” wszystkie przejścia skracane są do przenikania o czasie 0 ms. Zachowanie to zdefiniowano raz, na poziomie tokenów ruchu.</w:t>
      </w:r>
    </w:p>
    <w:p>
      <w:pPr>
        <w:pStyle w:val="Heading1"/>
      </w:pPr>
      <w:r>
        <w:t>5. Tokeny systemu projektowego</w:t>
      </w:r>
    </w:p>
    <w:p>
      <w:r>
        <w:t>Tokeny stanowią jedyne źródło wartości w projekcie. Żaden ekran nie zawiera wartości wpisanej bezpośrednio.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368"/>
          </w:tcPr>
          <w:p>
            <w:r/>
            <w:r>
              <w:rPr>
                <w:b/>
                <w:sz w:val="19"/>
              </w:rPr>
              <w:t>Grupa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Wartość</w:t>
            </w:r>
          </w:p>
        </w:tc>
        <w:tc>
          <w:tcPr>
            <w:tcW w:type="dxa" w:w="4248"/>
          </w:tcPr>
          <w:p>
            <w:r/>
            <w:r>
              <w:rPr>
                <w:b/>
                <w:sz w:val="19"/>
              </w:rPr>
              <w:t>Zastosowanie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Kolor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color/accent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#2E5AAC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Akcja główna, elementy aktywne; kontrast 7,0:1 na bieli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Kolor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color/error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#B3261E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Walidacja, przekroczenie 80% limitu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Kolor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color/ink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#1A1A1A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Tekst podstawowy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Kolor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color/muted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#6B6B6B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Tekst pomocniczy; kontrast 5,7:1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Kolor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color/surface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#F2F2F2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Tła kart i elementów zastępczych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Kolor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color/disabled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#DCDCDC / #8F8F8F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Tło i tekst elementu nieaktywnego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Typografia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text/display · h1 · h2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· 24 · 19 px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Kwota limitu, kwota transakcji, nagłówki sekcji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Typografia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text/body · label · caption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· 15 · 13 px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Treść i pola, etykiety i komunikaty, metadane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Odstępy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space/1…6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· 8 · 12 · 16 · 24 · 32 px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Wszystkie odstępy wewnętrzne i zewnętrzne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Kształt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radius/s · radius/m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 · 12 px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Pola i przyciski · karty i modale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Siatka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grid/columns · margin · gutter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· 16 px · 16 px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Układ ekranu mobilnego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Dotyk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touch/min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48 × 48 px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Minimalny cel dotykowy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9"/>
              </w:rPr>
              <w:t>Ruch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motion/fast · base · slow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150 · 250 · 400 ms</w:t>
            </w:r>
          </w:p>
        </w:tc>
        <w:tc>
          <w:tcPr>
            <w:tcW w:type="dxa" w:w="4248"/>
          </w:tcPr>
          <w:p>
            <w:r/>
            <w:r>
              <w:rPr>
                <w:sz w:val="19"/>
              </w:rPr>
              <w:t>Modal · przejścia ekranów · zmiana widoku</w:t>
            </w:r>
          </w:p>
        </w:tc>
      </w:tr>
    </w:tbl>
    <w:p/>
    <w:p>
      <w:pPr>
        <w:pStyle w:val="Heading1"/>
      </w:pPr>
      <w:r>
        <w:t>6. Dostępność i zgodność z personami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Wymaganie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Rozwiązanie w makiecie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Weryfikacja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Czytelność tekstu (Henryk)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Minimum 17 px dla treści, 15 px dla etykiet; brak tekstu poniżej 13 px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Przegląd stopni pisma w tokenach text/*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Kontrast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Akcent 7,0:1, tekst pomocniczy 5,7:1 na białym tle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Obliczenie kontrastu dla par kolorów; próg WCAG AA = 4,5:1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Cele dotykowe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48 × 48 px dla przycisków, pozycji listy i ikon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Pomiar w makiecie; wariant 56 px w trybie dostępności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Brak komunikatu wyłącznie kolorem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Każdy stan ma ikonę lub tekst obok koloru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Przegląd stanów error, disabled, loading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Płaska nawigacja (Henryk)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Menu boczne bez zagnieżdżeń, 7 pozycji na jednym poziomie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Mapa prototypu: każdy ekran w ≤ 2 krokach od pulpitu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Szybkość (Katarzyna)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Formularz 4 pól; stan limitu widoczny bez przewijania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Ścieżka: otwarcie → dodanie transakcji = 3 dotknięcia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Korekta w 2 kliknięciach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„Zmień” przy każdym polu, znacznik „auto” przy pozycjach z algorytmu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Ścieżka: wiersz listy → „Zmień kategorię”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Ograniczenie ruchu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Przejścia skracane do 0 ms przy systemowej opcji „Ogranicz ruch”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Reguła na poziomie tokenów motion/*</w:t>
            </w:r>
          </w:p>
        </w:tc>
      </w:tr>
    </w:tbl>
    <w:p/>
    <w:p>
      <w:pPr>
        <w:pStyle w:val="Heading1"/>
      </w:pPr>
      <w:r>
        <w:t>7. Wnioski</w:t>
      </w:r>
    </w:p>
    <w:p>
      <w:pPr>
        <w:pStyle w:val="ListBullet"/>
      </w:pPr>
      <w:r>
        <w:t>Model szkieletowy w wersji mid-fi pozwolił rozstrzygnąć konflikt z laboratorium 2 bez projektowania dwóch osobnych aplikacji: tryb automatyczny i ręczny są wariantami tych samych komponentów i korzystają z jednego układu ekranu.</w:t>
      </w:r>
    </w:p>
    <w:p>
      <w:pPr>
        <w:pStyle w:val="ListBullet"/>
      </w:pPr>
      <w:r>
        <w:t>Najwięcej decyzji projektowych wymagały stany brzegowe, a nie stan idealny. Ekran szczegółów w wersji offline łączy trzy stany naraz (nieaktualne dane, błąd wczytania, stan pusty) i to on wymusił blokadę edycji oraz możliwość zapisu lokalnego.</w:t>
      </w:r>
    </w:p>
    <w:p>
      <w:pPr>
        <w:pStyle w:val="ListBullet"/>
      </w:pPr>
      <w:r>
        <w:t>Biblioteka komponentów i tokeny przeniosły koszt zmiany z poziomu ekranu na poziom definicji: zmiana rozmiaru przycisku, koloru akcentu lub czasu animacji to jedna edycja zamiast dziewięciu.</w:t>
      </w:r>
    </w:p>
    <w:p>
      <w:pPr>
        <w:pStyle w:val="ListBullet"/>
      </w:pPr>
      <w:r>
        <w:t>Reguła „korekta w maksymalnie dwóch kliknięciach”, wyprowadzona z ankiety (36% rezygnacji po błędnej kategoryzacji), okazała się testowalna już na poziomie makiety — sprawdzono ją na mapie prototypu dla każdej automatycznej decyzji algorytmu.</w:t>
      </w:r>
    </w:p>
    <w:p>
      <w:pPr>
        <w:pStyle w:val="ListBullet"/>
      </w:pPr>
      <w:r>
        <w:t>Kolejnym krokiem są testy użyteczności prototypu z przedstawicielami obu person, ze szczególnym naciskiem na czas wprowadzenia pierwszej transakcji (kryterium: poniżej minuty).</w:t>
      </w:r>
    </w:p>
    <w:p>
      <w:pPr>
        <w:pStyle w:val="Heading2"/>
      </w:pPr>
      <w:r>
        <w:t>Źródła</w:t>
      </w:r>
    </w:p>
    <w:p>
      <w:pPr>
        <w:pStyle w:val="ListBullet"/>
      </w:pPr>
      <w:r>
        <w:t>Nielsen Norman Group, „UX Prototypes: Low Fidelity vs. High Fidelity”.</w:t>
      </w:r>
    </w:p>
    <w:p>
      <w:pPr>
        <w:pStyle w:val="ListBullet"/>
      </w:pPr>
      <w:r>
        <w:t>Interaction Design Foundation, „Wireframing”.</w:t>
      </w:r>
    </w:p>
    <w:p>
      <w:pPr>
        <w:pStyle w:val="ListBullet"/>
      </w:pPr>
      <w:r>
        <w:t>Material Design 3 — wytyczne dotyczące komponentów, stanów i tokenów (m3.material.io).</w:t>
      </w:r>
    </w:p>
    <w:p>
      <w:pPr>
        <w:pStyle w:val="ListBullet"/>
      </w:pPr>
      <w:r>
        <w:t>designsystems.wtf — materiały wprowadzające do systemów projektowych.</w:t>
      </w:r>
    </w:p>
    <w:p>
      <w:pPr>
        <w:pStyle w:val="ListBullet"/>
      </w:pPr>
      <w:r>
        <w:t>WCAG 2.1, kryteria 1.4.1 (Użycie koloru), 1.4.3 (Kontrast) i 2.5.5 (Rozmiar celu dotykowego).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