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F4E79"/>
          <w:sz w:val="72"/>
          <w:szCs w:val="72"/>
        </w:rPr>
        <w:t xml:space="preserve">InsureRight</w:t>
      </w:r>
    </w:p>
    <w:p>
      <w:pPr>
        <w:spacing w:before="100"/>
        <w:jc w:val="center"/>
      </w:pPr>
      <w:r>
        <w:rPr>
          <w:b/>
          <w:bCs/>
          <w:color w:val="2E75B6"/>
          <w:sz w:val="40"/>
          <w:szCs w:val="40"/>
        </w:rPr>
        <w:t xml:space="preserve">Digital Transformation Programme</w:t>
      </w:r>
    </w:p>
    <w:p>
      <w:pPr>
        <w:spacing w:before="200"/>
        <w:jc w:val="center"/>
      </w:pPr>
      <w:r>
        <w:rPr>
          <w:color w:val="1A1A1A"/>
          <w:sz w:val="30"/>
          <w:szCs w:val="30"/>
        </w:rPr>
        <w:t xml:space="preserve">Gap Analysis — People · Process · Technology</w:t>
      </w:r>
    </w:p>
    <w:p>
      <w:pPr>
        <w:spacing w:before="200"/>
        <w:jc w:val="center"/>
      </w:pPr>
      <w:r>
        <w:rPr>
          <w:color w:val="888888"/>
          <w:sz w:val="24"/>
          <w:szCs w:val="24"/>
        </w:rPr>
        <w:t xml:space="preserve">Version 1.0   |   June 2025</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b w:val="false"/>
                <w:bCs w:val="false"/>
                <w:color w:val="1A1A1A"/>
                <w:sz w:val="18"/>
                <w:szCs w:val="18"/>
              </w:rPr>
              <w:t xml:space="preserve">Document Title</w:t>
            </w:r>
          </w:p>
        </w:tc>
        <w:tc>
          <w:tcPr>
            <w:tcMar>
              <w:top w:type="dxa" w:w="60"/>
              <w:left w:type="dxa" w:w="120"/>
              <w:bottom w:type="dxa" w:w="60"/>
              <w:right w:type="dxa" w:w="120"/>
            </w:tcMar>
          </w:tcPr>
          <w:p>
            <w:pPr>
              <w:jc w:val="left"/>
            </w:pPr>
            <w:r>
              <w:rPr>
                <w:b w:val="false"/>
                <w:bCs w:val="false"/>
                <w:color w:val="1A1A1A"/>
                <w:sz w:val="18"/>
                <w:szCs w:val="18"/>
              </w:rPr>
              <w:t xml:space="preserve">InsureRight Digital Transformation — Gap Analysis</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Version</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1.0</w:t>
            </w:r>
          </w:p>
        </w:tc>
      </w:tr>
      <w:tr>
        <w:tc>
          <w:tcPr>
            <w:tcMar>
              <w:top w:type="dxa" w:w="60"/>
              <w:left w:type="dxa" w:w="120"/>
              <w:bottom w:type="dxa" w:w="60"/>
              <w:right w:type="dxa" w:w="120"/>
            </w:tcMar>
          </w:tcPr>
          <w:p>
            <w:pPr>
              <w:jc w:val="left"/>
            </w:pPr>
            <w:r>
              <w:rPr>
                <w:b w:val="false"/>
                <w:bCs w:val="false"/>
                <w:color w:val="1A1A1A"/>
                <w:sz w:val="18"/>
                <w:szCs w:val="18"/>
              </w:rPr>
              <w:t xml:space="preserve">Status</w:t>
            </w:r>
          </w:p>
        </w:tc>
        <w:tc>
          <w:tcPr>
            <w:tcMar>
              <w:top w:type="dxa" w:w="60"/>
              <w:left w:type="dxa" w:w="120"/>
              <w:bottom w:type="dxa" w:w="60"/>
              <w:right w:type="dxa" w:w="120"/>
            </w:tcMar>
          </w:tcPr>
          <w:p>
            <w:pPr>
              <w:jc w:val="left"/>
            </w:pPr>
            <w:r>
              <w:rPr>
                <w:b w:val="false"/>
                <w:bCs w:val="false"/>
                <w:color w:val="1A1A1A"/>
                <w:sz w:val="18"/>
                <w:szCs w:val="18"/>
              </w:rPr>
              <w:t xml:space="preserve">Approved — presented to Board</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Prepared by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Shweta Goyal, Technical Business Analyst</w:t>
            </w:r>
          </w:p>
        </w:tc>
      </w:tr>
      <w:tr>
        <w:tc>
          <w:tcPr>
            <w:tcMar>
              <w:top w:type="dxa" w:w="60"/>
              <w:left w:type="dxa" w:w="120"/>
              <w:bottom w:type="dxa" w:w="60"/>
              <w:right w:type="dxa" w:w="120"/>
            </w:tcMar>
          </w:tcPr>
          <w:p>
            <w:pPr>
              <w:jc w:val="left"/>
            </w:pPr>
            <w:r>
              <w:rPr>
                <w:b w:val="false"/>
                <w:bCs w:val="false"/>
                <w:color w:val="1A1A1A"/>
                <w:sz w:val="18"/>
                <w:szCs w:val="18"/>
              </w:rPr>
              <w:t xml:space="preserve">Date</w:t>
            </w:r>
          </w:p>
        </w:tc>
        <w:tc>
          <w:tcPr>
            <w:tcMar>
              <w:top w:type="dxa" w:w="60"/>
              <w:left w:type="dxa" w:w="120"/>
              <w:bottom w:type="dxa" w:w="60"/>
              <w:right w:type="dxa" w:w="120"/>
            </w:tcMar>
          </w:tcPr>
          <w:p>
            <w:pPr>
              <w:jc w:val="left"/>
            </w:pPr>
            <w:r>
              <w:rPr>
                <w:b w:val="false"/>
                <w:bCs w:val="false"/>
                <w:color w:val="1A1A1A"/>
                <w:sz w:val="18"/>
                <w:szCs w:val="18"/>
              </w:rPr>
              <w:t xml:space="preserve">June 2025</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Project</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InsureRight Claims Processing Digital Transformation</w:t>
            </w:r>
          </w:p>
        </w:tc>
      </w:tr>
      <w:tr>
        <w:tc>
          <w:tcPr>
            <w:tcMar>
              <w:top w:type="dxa" w:w="60"/>
              <w:left w:type="dxa" w:w="120"/>
              <w:bottom w:type="dxa" w:w="60"/>
              <w:right w:type="dxa" w:w="120"/>
            </w:tcMar>
          </w:tcPr>
          <w:p>
            <w:pPr>
              <w:jc w:val="left"/>
            </w:pPr>
            <w:r>
              <w:rPr>
                <w:b w:val="false"/>
                <w:bCs w:val="false"/>
                <w:color w:val="1A1A1A"/>
                <w:sz w:val="18"/>
                <w:szCs w:val="18"/>
              </w:rPr>
              <w:t xml:space="preserve">Classification</w:t>
            </w:r>
          </w:p>
        </w:tc>
        <w:tc>
          <w:tcPr>
            <w:tcMar>
              <w:top w:type="dxa" w:w="60"/>
              <w:left w:type="dxa" w:w="120"/>
              <w:bottom w:type="dxa" w:w="60"/>
              <w:right w:type="dxa" w:w="120"/>
            </w:tcMar>
          </w:tcPr>
          <w:p>
            <w:pPr>
              <w:jc w:val="left"/>
            </w:pPr>
            <w:r>
              <w:rPr>
                <w:b w:val="false"/>
                <w:bCs w:val="false"/>
                <w:color w:val="1A1A1A"/>
                <w:sz w:val="18"/>
                <w:szCs w:val="18"/>
              </w:rPr>
              <w:t xml:space="preserve">Confidential — Board and Senior Management Only</w:t>
            </w:r>
          </w:p>
        </w:tc>
      </w:tr>
    </w:tbl>
    <w:p>
      <w:r>
        <w:br w:type="page"/>
      </w:r>
    </w:p>
    <w:p>
      <w:pPr>
        <w:pBdr>
          <w:bottom w:val="single" w:color="2E75B6" w:sz="8"/>
        </w:pBdr>
        <w:spacing w:after="200" w:before="400"/>
      </w:pPr>
      <w:r>
        <w:rPr>
          <w:b/>
          <w:bCs/>
          <w:color w:val="1F4E79"/>
          <w:sz w:val="30"/>
          <w:szCs w:val="30"/>
        </w:rPr>
        <w:t xml:space="preserve">1. Executive Summary</w:t>
      </w:r>
    </w:p>
    <w:p>
      <w:pPr>
        <w:spacing w:after="80" w:before="80"/>
      </w:pPr>
      <w:r>
        <w:rPr>
          <w:color w:val="1A1A1A"/>
          <w:sz w:val="20"/>
          <w:szCs w:val="20"/>
        </w:rPr>
        <w:t xml:space="preserve">InsureRight processes approximately 1,200 insurance claims per month. At the time this analysis was conducted, every claim started with a paper form submitted in person or by post. The average processing time was 14 days — nearly three times the UK industry benchmark of 5 days. Staff were spending 40% of their working time re-entering data from paper forms into the legacy claims system. The rework rate (claims requiring correction after entry) was 18%.</w:t>
      </w:r>
    </w:p>
    <w:p>
      <w:pPr>
        <w:spacing w:after="80" w:before="80"/>
      </w:pPr>
      <w:r>
        <w:rPr>
          <w:color w:val="1A1A1A"/>
          <w:sz w:val="20"/>
          <w:szCs w:val="20"/>
        </w:rPr>
        <w:t xml:space="preserve">This gap analysis was commissioned to define the current state, identify the gaps between the current state and the target operating model, and provide the evidence base for the digital transformation business case.</w:t>
      </w:r>
    </w:p>
    <w:p>
      <w:pPr>
        <w:spacing w:after="80" w:before="80"/>
      </w:pPr>
      <w:r>
        <w:rPr>
          <w:color w:val="1A1A1A"/>
          <w:sz w:val="20"/>
          <w:szCs w:val="20"/>
        </w:rPr>
        <w:t xml:space="preserve">The analysis covers three dimensions: People (capability, structure, culture), Process (workflows, controls, communication), and Technology (systems, integrations, data). Each gap is rated by severity and linked to a recommended action.</w:t>
      </w:r>
    </w:p>
    <w:p>
      <w:pPr>
        <w:spacing w:before="200"/>
      </w:pPr>
    </w:p>
    <w:p>
      <w:pPr>
        <w:spacing w:after="150" w:before="300"/>
      </w:pPr>
      <w:r>
        <w:rPr>
          <w:b/>
          <w:bCs/>
          <w:color w:val="2E75B6"/>
          <w:sz w:val="24"/>
          <w:szCs w:val="24"/>
        </w:rPr>
        <w:t xml:space="preserve">1.1 Key Findings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Dimension</w:t>
            </w:r>
          </w:p>
        </w:tc>
        <w:tc>
          <w:tcPr>
            <w:shd w:fill="1F4E79" w:color="auto" w:val="clear"/>
            <w:tcMar>
              <w:top w:type="dxa" w:w="80"/>
              <w:left w:type="dxa" w:w="120"/>
              <w:bottom w:type="dxa" w:w="80"/>
              <w:right w:type="dxa" w:w="120"/>
            </w:tcMar>
          </w:tcPr>
          <w:p>
            <w:pPr>
              <w:jc w:val="left"/>
            </w:pPr>
            <w:r>
              <w:rPr>
                <w:b/>
                <w:bCs/>
                <w:color w:val="FFFFFF"/>
                <w:sz w:val="18"/>
                <w:szCs w:val="18"/>
              </w:rPr>
              <w:t xml:space="preserve">Gaps Found</w:t>
            </w:r>
          </w:p>
        </w:tc>
        <w:tc>
          <w:tcPr>
            <w:shd w:fill="1F4E79" w:color="auto" w:val="clear"/>
            <w:tcMar>
              <w:top w:type="dxa" w:w="80"/>
              <w:left w:type="dxa" w:w="120"/>
              <w:bottom w:type="dxa" w:w="80"/>
              <w:right w:type="dxa" w:w="120"/>
            </w:tcMar>
          </w:tcPr>
          <w:p>
            <w:pPr>
              <w:jc w:val="left"/>
            </w:pPr>
            <w:r>
              <w:rPr>
                <w:b/>
                <w:bCs/>
                <w:color w:val="FFFFFF"/>
                <w:sz w:val="18"/>
                <w:szCs w:val="18"/>
              </w:rPr>
              <w:t xml:space="preserve">Critical</w:t>
            </w:r>
          </w:p>
        </w:tc>
        <w:tc>
          <w:tcPr>
            <w:shd w:fill="1F4E79" w:color="auto" w:val="clear"/>
            <w:tcMar>
              <w:top w:type="dxa" w:w="80"/>
              <w:left w:type="dxa" w:w="120"/>
              <w:bottom w:type="dxa" w:w="80"/>
              <w:right w:type="dxa" w:w="120"/>
            </w:tcMar>
          </w:tcPr>
          <w:p>
            <w:pPr>
              <w:jc w:val="left"/>
            </w:pPr>
            <w:r>
              <w:rPr>
                <w:b/>
                <w:bCs/>
                <w:color w:val="FFFFFF"/>
                <w:sz w:val="18"/>
                <w:szCs w:val="18"/>
              </w:rPr>
              <w:t xml:space="preserve">High</w:t>
            </w:r>
          </w:p>
        </w:tc>
        <w:tc>
          <w:tcPr>
            <w:shd w:fill="1F4E79" w:color="auto" w:val="clear"/>
            <w:tcMar>
              <w:top w:type="dxa" w:w="80"/>
              <w:left w:type="dxa" w:w="120"/>
              <w:bottom w:type="dxa" w:w="80"/>
              <w:right w:type="dxa" w:w="120"/>
            </w:tcMar>
          </w:tcPr>
          <w:p>
            <w:pPr>
              <w:jc w:val="left"/>
            </w:pPr>
            <w:r>
              <w:rPr>
                <w:b/>
                <w:bCs/>
                <w:color w:val="FFFFFF"/>
                <w:sz w:val="18"/>
                <w:szCs w:val="18"/>
              </w:rPr>
              <w:t xml:space="preserve">Medium</w:t>
            </w:r>
          </w:p>
        </w:tc>
      </w:tr>
      <w:tr>
        <w:tc>
          <w:tcPr>
            <w:tcMar>
              <w:top w:type="dxa" w:w="60"/>
              <w:left w:type="dxa" w:w="120"/>
              <w:bottom w:type="dxa" w:w="60"/>
              <w:right w:type="dxa" w:w="120"/>
            </w:tcMar>
          </w:tcPr>
          <w:p>
            <w:pPr>
              <w:jc w:val="left"/>
            </w:pPr>
            <w:r>
              <w:rPr>
                <w:b w:val="false"/>
                <w:bCs w:val="false"/>
                <w:color w:val="1A1A1A"/>
                <w:sz w:val="18"/>
                <w:szCs w:val="18"/>
              </w:rPr>
              <w:t xml:space="preserve">People</w:t>
            </w:r>
          </w:p>
        </w:tc>
        <w:tc>
          <w:tcPr>
            <w:tcMar>
              <w:top w:type="dxa" w:w="60"/>
              <w:left w:type="dxa" w:w="120"/>
              <w:bottom w:type="dxa" w:w="60"/>
              <w:right w:type="dxa" w:w="120"/>
            </w:tcMar>
          </w:tcPr>
          <w:p>
            <w:pPr>
              <w:jc w:val="left"/>
            </w:pPr>
            <w:r>
              <w:rPr>
                <w:b w:val="false"/>
                <w:bCs w:val="false"/>
                <w:color w:val="1A1A1A"/>
                <w:sz w:val="18"/>
                <w:szCs w:val="18"/>
              </w:rPr>
              <w:t xml:space="preserve">5</w:t>
            </w:r>
          </w:p>
        </w:tc>
        <w:tc>
          <w:tcPr>
            <w:tcMar>
              <w:top w:type="dxa" w:w="60"/>
              <w:left w:type="dxa" w:w="120"/>
              <w:bottom w:type="dxa" w:w="60"/>
              <w:right w:type="dxa" w:w="120"/>
            </w:tcMar>
          </w:tcPr>
          <w:p>
            <w:pPr>
              <w:jc w:val="left"/>
            </w:pPr>
            <w:r>
              <w:rPr>
                <w:b w:val="false"/>
                <w:bCs w:val="false"/>
                <w:color w:val="1A1A1A"/>
                <w:sz w:val="18"/>
                <w:szCs w:val="18"/>
              </w:rPr>
              <w:t xml:space="preserve">1</w:t>
            </w:r>
          </w:p>
        </w:tc>
        <w:tc>
          <w:tcPr>
            <w:tcMar>
              <w:top w:type="dxa" w:w="60"/>
              <w:left w:type="dxa" w:w="120"/>
              <w:bottom w:type="dxa" w:w="60"/>
              <w:right w:type="dxa" w:w="120"/>
            </w:tcMar>
          </w:tcPr>
          <w:p>
            <w:pPr>
              <w:jc w:val="left"/>
            </w:pPr>
            <w:r>
              <w:rPr>
                <w:b w:val="false"/>
                <w:bCs w:val="false"/>
                <w:color w:val="1A1A1A"/>
                <w:sz w:val="18"/>
                <w:szCs w:val="18"/>
              </w:rPr>
              <w:t xml:space="preserve">3</w:t>
            </w:r>
          </w:p>
        </w:tc>
        <w:tc>
          <w:tcPr>
            <w:tcMar>
              <w:top w:type="dxa" w:w="60"/>
              <w:left w:type="dxa" w:w="120"/>
              <w:bottom w:type="dxa" w:w="60"/>
              <w:right w:type="dxa" w:w="120"/>
            </w:tcMar>
          </w:tcPr>
          <w:p>
            <w:pPr>
              <w:jc w:val="left"/>
            </w:pPr>
            <w:r>
              <w:rPr>
                <w:b w:val="false"/>
                <w:bCs w:val="false"/>
                <w:color w:val="1A1A1A"/>
                <w:sz w:val="18"/>
                <w:szCs w:val="18"/>
              </w:rPr>
              <w:t xml:space="preserve">1</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Process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6</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2</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3</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1</w:t>
            </w:r>
          </w:p>
        </w:tc>
      </w:tr>
      <w:tr>
        <w:tc>
          <w:tcPr>
            <w:tcMar>
              <w:top w:type="dxa" w:w="60"/>
              <w:left w:type="dxa" w:w="120"/>
              <w:bottom w:type="dxa" w:w="60"/>
              <w:right w:type="dxa" w:w="120"/>
            </w:tcMar>
          </w:tcPr>
          <w:p>
            <w:pPr>
              <w:jc w:val="left"/>
            </w:pPr>
            <w:r>
              <w:rPr>
                <w:b w:val="false"/>
                <w:bCs w:val="false"/>
                <w:color w:val="1A1A1A"/>
                <w:sz w:val="18"/>
                <w:szCs w:val="18"/>
              </w:rPr>
              <w:t xml:space="preserve">Technology</w:t>
            </w:r>
          </w:p>
        </w:tc>
        <w:tc>
          <w:tcPr>
            <w:tcMar>
              <w:top w:type="dxa" w:w="60"/>
              <w:left w:type="dxa" w:w="120"/>
              <w:bottom w:type="dxa" w:w="60"/>
              <w:right w:type="dxa" w:w="120"/>
            </w:tcMar>
          </w:tcPr>
          <w:p>
            <w:pPr>
              <w:jc w:val="left"/>
            </w:pPr>
            <w:r>
              <w:rPr>
                <w:b w:val="false"/>
                <w:bCs w:val="false"/>
                <w:color w:val="1A1A1A"/>
                <w:sz w:val="18"/>
                <w:szCs w:val="18"/>
              </w:rPr>
              <w:t xml:space="preserve">6</w:t>
            </w:r>
          </w:p>
        </w:tc>
        <w:tc>
          <w:tcPr>
            <w:tcMar>
              <w:top w:type="dxa" w:w="60"/>
              <w:left w:type="dxa" w:w="120"/>
              <w:bottom w:type="dxa" w:w="60"/>
              <w:right w:type="dxa" w:w="120"/>
            </w:tcMar>
          </w:tcPr>
          <w:p>
            <w:pPr>
              <w:jc w:val="left"/>
            </w:pPr>
            <w:r>
              <w:rPr>
                <w:b w:val="false"/>
                <w:bCs w:val="false"/>
                <w:color w:val="1A1A1A"/>
                <w:sz w:val="18"/>
                <w:szCs w:val="18"/>
              </w:rPr>
              <w:t xml:space="preserve">3</w:t>
            </w:r>
          </w:p>
        </w:tc>
        <w:tc>
          <w:tcPr>
            <w:tcMar>
              <w:top w:type="dxa" w:w="60"/>
              <w:left w:type="dxa" w:w="120"/>
              <w:bottom w:type="dxa" w:w="60"/>
              <w:right w:type="dxa" w:w="120"/>
            </w:tcMar>
          </w:tcPr>
          <w:p>
            <w:pPr>
              <w:jc w:val="left"/>
            </w:pPr>
            <w:r>
              <w:rPr>
                <w:b w:val="false"/>
                <w:bCs w:val="false"/>
                <w:color w:val="1A1A1A"/>
                <w:sz w:val="18"/>
                <w:szCs w:val="18"/>
              </w:rPr>
              <w:t xml:space="preserve">2</w:t>
            </w:r>
          </w:p>
        </w:tc>
        <w:tc>
          <w:tcPr>
            <w:tcMar>
              <w:top w:type="dxa" w:w="60"/>
              <w:left w:type="dxa" w:w="120"/>
              <w:bottom w:type="dxa" w:w="60"/>
              <w:right w:type="dxa" w:w="120"/>
            </w:tcMar>
          </w:tcPr>
          <w:p>
            <w:pPr>
              <w:jc w:val="left"/>
            </w:pPr>
            <w:r>
              <w:rPr>
                <w:b w:val="false"/>
                <w:bCs w:val="false"/>
                <w:color w:val="1A1A1A"/>
                <w:sz w:val="18"/>
                <w:szCs w:val="18"/>
              </w:rPr>
              <w:t xml:space="preserve">1</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Total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17</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6</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8</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3</w:t>
            </w:r>
          </w:p>
        </w:tc>
      </w:tr>
    </w:tbl>
    <w:p>
      <w:pPr>
        <w:spacing w:before="200"/>
      </w:pPr>
    </w:p>
    <w:p>
      <w:pPr>
        <w:spacing w:after="150" w:before="300"/>
      </w:pPr>
      <w:r>
        <w:rPr>
          <w:b/>
          <w:bCs/>
          <w:color w:val="2E75B6"/>
          <w:sz w:val="24"/>
          <w:szCs w:val="24"/>
        </w:rPr>
        <w:t xml:space="preserve">1.2 Financial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Item</w:t>
            </w:r>
          </w:p>
        </w:tc>
        <w:tc>
          <w:tcPr>
            <w:shd w:fill="1F4E79" w:color="auto" w:val="clear"/>
            <w:tcMar>
              <w:top w:type="dxa" w:w="80"/>
              <w:left w:type="dxa" w:w="120"/>
              <w:bottom w:type="dxa" w:w="80"/>
              <w:right w:type="dxa" w:w="120"/>
            </w:tcMar>
          </w:tcPr>
          <w:p>
            <w:pPr>
              <w:jc w:val="left"/>
            </w:pPr>
            <w:r>
              <w:rPr>
                <w:b/>
                <w:bCs/>
                <w:color w:val="FFFFFF"/>
                <w:sz w:val="18"/>
                <w:szCs w:val="18"/>
              </w:rPr>
              <w:t xml:space="preserve">Value</w:t>
            </w:r>
          </w:p>
        </w:tc>
      </w:tr>
      <w:tr>
        <w:tc>
          <w:tcPr>
            <w:tcMar>
              <w:top w:type="dxa" w:w="60"/>
              <w:left w:type="dxa" w:w="120"/>
              <w:bottom w:type="dxa" w:w="60"/>
              <w:right w:type="dxa" w:w="120"/>
            </w:tcMar>
          </w:tcPr>
          <w:p>
            <w:pPr>
              <w:jc w:val="left"/>
            </w:pPr>
            <w:r>
              <w:rPr>
                <w:b w:val="false"/>
                <w:bCs w:val="false"/>
                <w:color w:val="1A1A1A"/>
                <w:sz w:val="18"/>
                <w:szCs w:val="18"/>
              </w:rPr>
              <w:t xml:space="preserve">Annual cost of current state (people, rework, inaction)</w:t>
            </w:r>
          </w:p>
        </w:tc>
        <w:tc>
          <w:tcPr>
            <w:tcMar>
              <w:top w:type="dxa" w:w="60"/>
              <w:left w:type="dxa" w:w="120"/>
              <w:bottom w:type="dxa" w:w="60"/>
              <w:right w:type="dxa" w:w="120"/>
            </w:tcMar>
          </w:tcPr>
          <w:p>
            <w:pPr>
              <w:jc w:val="left"/>
            </w:pPr>
            <w:r>
              <w:rPr>
                <w:b w:val="false"/>
                <w:bCs w:val="false"/>
                <w:color w:val="1A1A1A"/>
                <w:sz w:val="18"/>
                <w:szCs w:val="18"/>
              </w:rPr>
              <w:t xml:space="preserve">~£1,090,000</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Estimated transformation investment (one-off)</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£320,000</w:t>
            </w:r>
          </w:p>
        </w:tc>
      </w:tr>
      <w:tr>
        <w:tc>
          <w:tcPr>
            <w:tcMar>
              <w:top w:type="dxa" w:w="60"/>
              <w:left w:type="dxa" w:w="120"/>
              <w:bottom w:type="dxa" w:w="60"/>
              <w:right w:type="dxa" w:w="120"/>
            </w:tcMar>
          </w:tcPr>
          <w:p>
            <w:pPr>
              <w:jc w:val="left"/>
            </w:pPr>
            <w:r>
              <w:rPr>
                <w:b w:val="false"/>
                <w:bCs w:val="false"/>
                <w:color w:val="1A1A1A"/>
                <w:sz w:val="18"/>
                <w:szCs w:val="18"/>
              </w:rPr>
              <w:t xml:space="preserve">Projected payback period</w:t>
            </w:r>
          </w:p>
        </w:tc>
        <w:tc>
          <w:tcPr>
            <w:tcMar>
              <w:top w:type="dxa" w:w="60"/>
              <w:left w:type="dxa" w:w="120"/>
              <w:bottom w:type="dxa" w:w="60"/>
              <w:right w:type="dxa" w:w="120"/>
            </w:tcMar>
          </w:tcPr>
          <w:p>
            <w:pPr>
              <w:jc w:val="left"/>
            </w:pPr>
            <w:r>
              <w:rPr>
                <w:b w:val="false"/>
                <w:bCs w:val="false"/>
                <w:color w:val="1A1A1A"/>
                <w:sz w:val="18"/>
                <w:szCs w:val="18"/>
              </w:rPr>
              <w:t xml:space="preserve">&lt; 6 months</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Year 1 net benefit (post-investment)</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~£770,000</w:t>
            </w:r>
          </w:p>
        </w:tc>
      </w:tr>
      <w:tr>
        <w:tc>
          <w:tcPr>
            <w:tcMar>
              <w:top w:type="dxa" w:w="60"/>
              <w:left w:type="dxa" w:w="120"/>
              <w:bottom w:type="dxa" w:w="60"/>
              <w:right w:type="dxa" w:w="120"/>
            </w:tcMar>
          </w:tcPr>
          <w:p>
            <w:pPr>
              <w:jc w:val="left"/>
            </w:pPr>
            <w:r>
              <w:rPr>
                <w:b w:val="false"/>
                <w:bCs w:val="false"/>
                <w:color w:val="1A1A1A"/>
                <w:sz w:val="18"/>
                <w:szCs w:val="18"/>
              </w:rPr>
              <w:t xml:space="preserve">Year 2 annual benefit (recurring)</w:t>
            </w:r>
          </w:p>
        </w:tc>
        <w:tc>
          <w:tcPr>
            <w:tcMar>
              <w:top w:type="dxa" w:w="60"/>
              <w:left w:type="dxa" w:w="120"/>
              <w:bottom w:type="dxa" w:w="60"/>
              <w:right w:type="dxa" w:w="120"/>
            </w:tcMar>
          </w:tcPr>
          <w:p>
            <w:pPr>
              <w:jc w:val="left"/>
            </w:pPr>
            <w:r>
              <w:rPr>
                <w:b w:val="false"/>
                <w:bCs w:val="false"/>
                <w:color w:val="1A1A1A"/>
                <w:sz w:val="18"/>
                <w:szCs w:val="18"/>
              </w:rPr>
              <w:t xml:space="preserve">~£1,090,000</w:t>
            </w:r>
          </w:p>
        </w:tc>
      </w:tr>
    </w:tbl>
    <w:p>
      <w:pPr>
        <w:spacing w:before="120"/>
      </w:pPr>
    </w:p>
    <w:p>
      <w:pPr>
        <w:spacing w:after="80" w:before="80"/>
      </w:pPr>
      <w:r>
        <w:rPr>
          <w:color w:val="1A1A1A"/>
          <w:sz w:val="20"/>
          <w:szCs w:val="20"/>
        </w:rPr>
        <w:t xml:space="preserve">The board approved the transformation investment based on this analysis.</w:t>
      </w:r>
    </w:p>
    <w:p>
      <w:r>
        <w:br w:type="page"/>
      </w:r>
    </w:p>
    <w:p>
      <w:pPr>
        <w:pBdr>
          <w:bottom w:val="single" w:color="2E75B6" w:sz="8"/>
        </w:pBdr>
        <w:spacing w:after="200" w:before="400"/>
      </w:pPr>
      <w:r>
        <w:rPr>
          <w:b/>
          <w:bCs/>
          <w:color w:val="1F4E79"/>
          <w:sz w:val="30"/>
          <w:szCs w:val="30"/>
        </w:rPr>
        <w:t xml:space="preserve">2. Analysis Methodology</w:t>
      </w:r>
    </w:p>
    <w:p>
      <w:pPr>
        <w:spacing w:after="150" w:before="300"/>
      </w:pPr>
      <w:r>
        <w:rPr>
          <w:b/>
          <w:bCs/>
          <w:color w:val="2E75B6"/>
          <w:sz w:val="24"/>
          <w:szCs w:val="24"/>
        </w:rPr>
        <w:t xml:space="preserve">2.1 How the Evidence Was Gathered</w:t>
      </w:r>
    </w:p>
    <w:p>
      <w:pPr>
        <w:spacing w:after="80" w:before="80"/>
      </w:pPr>
      <w:r>
        <w:rPr>
          <w:color w:val="1A1A1A"/>
          <w:sz w:val="20"/>
          <w:szCs w:val="20"/>
        </w:rPr>
        <w:t xml:space="preserve">The gap analysis drew on four sources of evidence:</w:t>
      </w:r>
    </w:p>
    <w:p>
      <w:pPr>
        <w:spacing w:after="60" w:before="60"/>
        <w:ind w:left="360"/>
      </w:pPr>
      <w:r>
        <w:rPr>
          <w:color w:val="1A1A1A"/>
          <w:sz w:val="20"/>
          <w:szCs w:val="20"/>
        </w:rPr>
        <w:t xml:space="preserve">• Process walkthroughs: Half a day with two frontline Claims Handlers observing actual claim processing from form receipt to payment. This was the most valuable session — it revealed four undocumented Excel workarounds that management were unaware of.</w:t>
      </w:r>
    </w:p>
    <w:p>
      <w:pPr>
        <w:spacing w:after="60" w:before="60"/>
        <w:ind w:left="360"/>
      </w:pPr>
      <w:r>
        <w:rPr>
          <w:color w:val="1A1A1A"/>
          <w:sz w:val="20"/>
          <w:szCs w:val="20"/>
        </w:rPr>
        <w:t xml:space="preserve">• Elicitation workshop: 3-hour facilitated session with Operations Director, Claims Manager, IT Lead, and Finance Director. Used 5 Whys analysis to diagnose root causes from the evidence gathered in the walkthroughs.</w:t>
      </w:r>
    </w:p>
    <w:p>
      <w:pPr>
        <w:spacing w:after="60" w:before="60"/>
        <w:ind w:left="360"/>
      </w:pPr>
      <w:r>
        <w:rPr>
          <w:color w:val="1A1A1A"/>
          <w:sz w:val="20"/>
          <w:szCs w:val="20"/>
        </w:rPr>
        <w:t xml:space="preserve">• Document review: Current process documentation (out of date in places), legacy system user manual, IT architecture diagram, HR skills records.</w:t>
      </w:r>
    </w:p>
    <w:p>
      <w:pPr>
        <w:spacing w:after="60" w:before="60"/>
        <w:ind w:left="360"/>
      </w:pPr>
      <w:r>
        <w:rPr>
          <w:color w:val="1A1A1A"/>
          <w:sz w:val="20"/>
          <w:szCs w:val="20"/>
        </w:rPr>
        <w:t xml:space="preserve">• 1-to-1 interviews: Individual interviews with a Claims Handler and the Support team lead to understand informal workarounds and customer-facing pain points.</w:t>
      </w:r>
    </w:p>
    <w:p>
      <w:pPr>
        <w:spacing w:after="150" w:before="300"/>
      </w:pPr>
      <w:r>
        <w:rPr>
          <w:b/>
          <w:bCs/>
          <w:color w:val="2E75B6"/>
          <w:sz w:val="24"/>
          <w:szCs w:val="24"/>
        </w:rPr>
        <w:t xml:space="preserve">2.2 The Excel Workarounds Finding</w:t>
      </w:r>
    </w:p>
    <w:p>
      <w:pPr>
        <w:spacing w:after="80" w:before="80"/>
      </w:pPr>
      <w:r>
        <w:rPr>
          <w:color w:val="1A1A1A"/>
          <w:sz w:val="20"/>
          <w:szCs w:val="20"/>
        </w:rPr>
        <w:t xml:space="preserve">During the process walkthroughs, two Claims Handlers showed me four Excel spreadsheets they had built themselves over the past two years to fill gaps in what the legacy system could do: a claim priority tracker, a handler workload tracker, a payment pending log, and a customer callback log. These were not sanctioned by management and not backed up to any shared drive.</w:t>
      </w:r>
    </w:p>
    <w:p>
      <w:pPr>
        <w:spacing w:after="80" w:before="80"/>
      </w:pPr>
      <w:r>
        <w:rPr>
          <w:color w:val="1A1A1A"/>
          <w:sz w:val="20"/>
          <w:szCs w:val="20"/>
        </w:rPr>
        <w:t xml:space="preserve">This finding was significant for two reasons. First, it showed that the process gaps were serious enough that frontline staff had independently built compensating tools. Second, it gave us concrete, specific evidence of what the new system needed to do — rather than just stated requirements from managers.</w:t>
      </w:r>
    </w:p>
    <w:p>
      <w:pPr>
        <w:spacing w:after="80" w:before="80"/>
      </w:pPr>
      <w:r>
        <w:rPr>
          <w:color w:val="1A1A1A"/>
          <w:sz w:val="20"/>
          <w:szCs w:val="20"/>
        </w:rPr>
        <w:t xml:space="preserve">The Excel workarounds became the centrepiece of the business case presented to the board.</w:t>
      </w:r>
    </w:p>
    <w:p>
      <w:pPr>
        <w:spacing w:after="150" w:before="300"/>
      </w:pPr>
      <w:r>
        <w:rPr>
          <w:b/>
          <w:bCs/>
          <w:color w:val="2E75B6"/>
          <w:sz w:val="24"/>
          <w:szCs w:val="24"/>
        </w:rPr>
        <w:t xml:space="preserve">2.3 Root Cause Analysis — 5 Whys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Why Level</w:t>
            </w:r>
          </w:p>
        </w:tc>
        <w:tc>
          <w:tcPr>
            <w:shd w:fill="1F4E79" w:color="auto" w:val="clear"/>
            <w:tcMar>
              <w:top w:type="dxa" w:w="80"/>
              <w:left w:type="dxa" w:w="120"/>
              <w:bottom w:type="dxa" w:w="80"/>
              <w:right w:type="dxa" w:w="120"/>
            </w:tcMar>
          </w:tcPr>
          <w:p>
            <w:pPr>
              <w:jc w:val="left"/>
            </w:pPr>
            <w:r>
              <w:rPr>
                <w:b/>
                <w:bCs/>
                <w:color w:val="FFFFFF"/>
                <w:sz w:val="18"/>
                <w:szCs w:val="18"/>
              </w:rPr>
              <w:t xml:space="preserve">Question</w:t>
            </w:r>
          </w:p>
        </w:tc>
        <w:tc>
          <w:tcPr>
            <w:shd w:fill="1F4E79" w:color="auto" w:val="clear"/>
            <w:tcMar>
              <w:top w:type="dxa" w:w="80"/>
              <w:left w:type="dxa" w:w="120"/>
              <w:bottom w:type="dxa" w:w="80"/>
              <w:right w:type="dxa" w:w="120"/>
            </w:tcMar>
          </w:tcPr>
          <w:p>
            <w:pPr>
              <w:jc w:val="left"/>
            </w:pPr>
            <w:r>
              <w:rPr>
                <w:b/>
                <w:bCs/>
                <w:color w:val="FFFFFF"/>
                <w:sz w:val="18"/>
                <w:szCs w:val="18"/>
              </w:rPr>
              <w:t xml:space="preserve">Answer</w:t>
            </w:r>
          </w:p>
        </w:tc>
      </w:tr>
      <w:tr>
        <w:tc>
          <w:tcPr>
            <w:tcMar>
              <w:top w:type="dxa" w:w="60"/>
              <w:left w:type="dxa" w:w="120"/>
              <w:bottom w:type="dxa" w:w="60"/>
              <w:right w:type="dxa" w:w="120"/>
            </w:tcMar>
          </w:tcPr>
          <w:p>
            <w:pPr>
              <w:jc w:val="left"/>
            </w:pPr>
            <w:r>
              <w:rPr>
                <w:b w:val="false"/>
                <w:bCs w:val="false"/>
                <w:color w:val="1A1A1A"/>
                <w:sz w:val="18"/>
                <w:szCs w:val="18"/>
              </w:rPr>
              <w:t xml:space="preserve">Why 1</w:t>
            </w:r>
          </w:p>
        </w:tc>
        <w:tc>
          <w:tcPr>
            <w:tcMar>
              <w:top w:type="dxa" w:w="60"/>
              <w:left w:type="dxa" w:w="120"/>
              <w:bottom w:type="dxa" w:w="60"/>
              <w:right w:type="dxa" w:w="120"/>
            </w:tcMar>
          </w:tcPr>
          <w:p>
            <w:pPr>
              <w:jc w:val="left"/>
            </w:pPr>
            <w:r>
              <w:rPr>
                <w:b w:val="false"/>
                <w:bCs w:val="false"/>
                <w:color w:val="1A1A1A"/>
                <w:sz w:val="18"/>
                <w:szCs w:val="18"/>
              </w:rPr>
              <w:t xml:space="preserve">Why is average processing time 14 days?</w:t>
            </w:r>
          </w:p>
        </w:tc>
        <w:tc>
          <w:tcPr>
            <w:tcMar>
              <w:top w:type="dxa" w:w="60"/>
              <w:left w:type="dxa" w:w="120"/>
              <w:bottom w:type="dxa" w:w="60"/>
              <w:right w:type="dxa" w:w="120"/>
            </w:tcMar>
          </w:tcPr>
          <w:p>
            <w:pPr>
              <w:jc w:val="left"/>
            </w:pPr>
            <w:r>
              <w:rPr>
                <w:b w:val="false"/>
                <w:bCs w:val="false"/>
                <w:color w:val="1A1A1A"/>
                <w:sz w:val="18"/>
                <w:szCs w:val="18"/>
              </w:rPr>
              <w:t xml:space="preserve">Claims sit unrouted in a shared inbox for an average of 2 days before being assigned to a handler</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Why 2</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Why aren't claims routed automatically?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The legacy system has no routing rules — assignment is done manually by a supervisor each morning</w:t>
            </w:r>
          </w:p>
        </w:tc>
      </w:tr>
      <w:tr>
        <w:tc>
          <w:tcPr>
            <w:tcMar>
              <w:top w:type="dxa" w:w="60"/>
              <w:left w:type="dxa" w:w="120"/>
              <w:bottom w:type="dxa" w:w="60"/>
              <w:right w:type="dxa" w:w="120"/>
            </w:tcMar>
          </w:tcPr>
          <w:p>
            <w:pPr>
              <w:jc w:val="left"/>
            </w:pPr>
            <w:r>
              <w:rPr>
                <w:b w:val="false"/>
                <w:bCs w:val="false"/>
                <w:color w:val="1A1A1A"/>
                <w:sz w:val="18"/>
                <w:szCs w:val="18"/>
              </w:rPr>
              <w:t xml:space="preserve">Why 3</w:t>
            </w:r>
          </w:p>
        </w:tc>
        <w:tc>
          <w:tcPr>
            <w:tcMar>
              <w:top w:type="dxa" w:w="60"/>
              <w:left w:type="dxa" w:w="120"/>
              <w:bottom w:type="dxa" w:w="60"/>
              <w:right w:type="dxa" w:w="120"/>
            </w:tcMar>
          </w:tcPr>
          <w:p>
            <w:pPr>
              <w:jc w:val="left"/>
            </w:pPr>
            <w:r>
              <w:rPr>
                <w:b w:val="false"/>
                <w:bCs w:val="false"/>
                <w:color w:val="1A1A1A"/>
                <w:sz w:val="18"/>
                <w:szCs w:val="18"/>
              </w:rPr>
              <w:t xml:space="preserve">Why hasn't this been fixed?</w:t>
            </w:r>
          </w:p>
        </w:tc>
        <w:tc>
          <w:tcPr>
            <w:tcMar>
              <w:top w:type="dxa" w:w="60"/>
              <w:left w:type="dxa" w:w="120"/>
              <w:bottom w:type="dxa" w:w="60"/>
              <w:right w:type="dxa" w:w="120"/>
            </w:tcMar>
          </w:tcPr>
          <w:p>
            <w:pPr>
              <w:jc w:val="left"/>
            </w:pPr>
            <w:r>
              <w:rPr>
                <w:b w:val="false"/>
                <w:bCs w:val="false"/>
                <w:color w:val="1A1A1A"/>
                <w:sz w:val="18"/>
                <w:szCs w:val="18"/>
              </w:rPr>
              <w:t xml:space="preserve">The legacy system can't be configured to add routing logic without a vendor engagement that was never prioritised</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Why 4</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Why was the vendor engagement never prioritised?</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Management didn't have visibility of the delay — the weekly report showed total volumes, not time-to-assign</w:t>
            </w:r>
          </w:p>
        </w:tc>
      </w:tr>
      <w:tr>
        <w:tc>
          <w:tcPr>
            <w:tcMar>
              <w:top w:type="dxa" w:w="60"/>
              <w:left w:type="dxa" w:w="120"/>
              <w:bottom w:type="dxa" w:w="60"/>
              <w:right w:type="dxa" w:w="120"/>
            </w:tcMar>
          </w:tcPr>
          <w:p>
            <w:pPr>
              <w:jc w:val="left"/>
            </w:pPr>
            <w:r>
              <w:rPr>
                <w:b w:val="false"/>
                <w:bCs w:val="false"/>
                <w:color w:val="1A1A1A"/>
                <w:sz w:val="18"/>
                <w:szCs w:val="18"/>
              </w:rPr>
              <w:t xml:space="preserve">Why 5</w:t>
            </w:r>
          </w:p>
        </w:tc>
        <w:tc>
          <w:tcPr>
            <w:tcMar>
              <w:top w:type="dxa" w:w="60"/>
              <w:left w:type="dxa" w:w="120"/>
              <w:bottom w:type="dxa" w:w="60"/>
              <w:right w:type="dxa" w:w="120"/>
            </w:tcMar>
          </w:tcPr>
          <w:p>
            <w:pPr>
              <w:jc w:val="left"/>
            </w:pPr>
            <w:r>
              <w:rPr>
                <w:b w:val="false"/>
                <w:bCs w:val="false"/>
                <w:color w:val="1A1A1A"/>
                <w:sz w:val="18"/>
                <w:szCs w:val="18"/>
              </w:rPr>
              <w:t xml:space="preserve">Why didn't the report show time-to-assign?</w:t>
            </w:r>
          </w:p>
        </w:tc>
        <w:tc>
          <w:tcPr>
            <w:tcMar>
              <w:top w:type="dxa" w:w="60"/>
              <w:left w:type="dxa" w:w="120"/>
              <w:bottom w:type="dxa" w:w="60"/>
              <w:right w:type="dxa" w:w="120"/>
            </w:tcMar>
          </w:tcPr>
          <w:p>
            <w:pPr>
              <w:jc w:val="left"/>
            </w:pPr>
            <w:r>
              <w:rPr>
                <w:b w:val="false"/>
                <w:bCs w:val="false"/>
                <w:color w:val="1A1A1A"/>
                <w:sz w:val="18"/>
                <w:szCs w:val="18"/>
              </w:rPr>
              <w:t xml:space="preserve">The legacy system can't generate that metric — handlers have been manually tracking it in an Excel spreadsheet (Workaround #1 above)</w:t>
            </w:r>
          </w:p>
        </w:tc>
      </w:tr>
    </w:tbl>
    <w:p>
      <w:pPr>
        <w:spacing w:before="120"/>
      </w:pPr>
    </w:p>
    <w:p>
      <w:pPr>
        <w:spacing w:after="80" w:before="80"/>
      </w:pPr>
      <w:r>
        <w:rPr>
          <w:color w:val="1A1A1A"/>
          <w:sz w:val="20"/>
          <w:szCs w:val="20"/>
        </w:rPr>
        <w:t xml:space="preserve">The 5 Whys session shifted the workshop conversation from debate about root cause to shared diagnosis. All three stakeholders who had disagreed about the root cause (Operations Director: people/training; IT Lead: system; Claims Manager: process) could see that all three were connected.</w:t>
      </w:r>
    </w:p>
    <w:p>
      <w:r>
        <w:br w:type="page"/>
      </w:r>
    </w:p>
    <w:p>
      <w:pPr>
        <w:pBdr>
          <w:bottom w:val="single" w:color="2E75B6" w:sz="8"/>
        </w:pBdr>
        <w:spacing w:after="200" w:before="400"/>
      </w:pPr>
      <w:r>
        <w:rPr>
          <w:b/>
          <w:bCs/>
          <w:color w:val="1F4E79"/>
          <w:sz w:val="30"/>
          <w:szCs w:val="30"/>
        </w:rPr>
        <w:t xml:space="preserve">3. People Gaps</w:t>
      </w:r>
    </w:p>
    <w:p>
      <w:pPr>
        <w:spacing w:after="80" w:before="80"/>
      </w:pPr>
      <w:r>
        <w:rPr>
          <w:color w:val="1A1A1A"/>
          <w:sz w:val="20"/>
          <w:szCs w:val="20"/>
        </w:rPr>
        <w:t xml:space="preserve">The People dimension covers the skills, knowledge, culture, and organisational structure of the teams involved in the claims process.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Gap ID</w:t>
            </w:r>
          </w:p>
        </w:tc>
        <w:tc>
          <w:tcPr>
            <w:shd w:fill="1F4E79" w:color="auto" w:val="clear"/>
            <w:tcMar>
              <w:top w:type="dxa" w:w="80"/>
              <w:left w:type="dxa" w:w="120"/>
              <w:bottom w:type="dxa" w:w="80"/>
              <w:right w:type="dxa" w:w="120"/>
            </w:tcMar>
          </w:tcPr>
          <w:p>
            <w:pPr>
              <w:jc w:val="left"/>
            </w:pPr>
            <w:r>
              <w:rPr>
                <w:b/>
                <w:bCs/>
                <w:color w:val="FFFFFF"/>
                <w:sz w:val="18"/>
                <w:szCs w:val="18"/>
              </w:rPr>
              <w:t xml:space="preserve">Gap Description</w:t>
            </w:r>
          </w:p>
        </w:tc>
        <w:tc>
          <w:tcPr>
            <w:shd w:fill="1F4E79" w:color="auto" w:val="clear"/>
            <w:tcMar>
              <w:top w:type="dxa" w:w="80"/>
              <w:left w:type="dxa" w:w="120"/>
              <w:bottom w:type="dxa" w:w="80"/>
              <w:right w:type="dxa" w:w="120"/>
            </w:tcMar>
          </w:tcPr>
          <w:p>
            <w:pPr>
              <w:jc w:val="left"/>
            </w:pPr>
            <w:r>
              <w:rPr>
                <w:b/>
                <w:bCs/>
                <w:color w:val="FFFFFF"/>
                <w:sz w:val="18"/>
                <w:szCs w:val="18"/>
              </w:rPr>
              <w:t xml:space="preserve">Current State</w:t>
            </w:r>
          </w:p>
        </w:tc>
        <w:tc>
          <w:tcPr>
            <w:shd w:fill="1F4E79" w:color="auto" w:val="clear"/>
            <w:tcMar>
              <w:top w:type="dxa" w:w="80"/>
              <w:left w:type="dxa" w:w="120"/>
              <w:bottom w:type="dxa" w:w="80"/>
              <w:right w:type="dxa" w:w="120"/>
            </w:tcMar>
          </w:tcPr>
          <w:p>
            <w:pPr>
              <w:jc w:val="left"/>
            </w:pPr>
            <w:r>
              <w:rPr>
                <w:b/>
                <w:bCs/>
                <w:color w:val="FFFFFF"/>
                <w:sz w:val="18"/>
                <w:szCs w:val="18"/>
              </w:rPr>
              <w:t xml:space="preserve">Target State</w:t>
            </w:r>
          </w:p>
        </w:tc>
        <w:tc>
          <w:tcPr>
            <w:shd w:fill="1F4E79" w:color="auto" w:val="clear"/>
            <w:tcMar>
              <w:top w:type="dxa" w:w="80"/>
              <w:left w:type="dxa" w:w="120"/>
              <w:bottom w:type="dxa" w:w="80"/>
              <w:right w:type="dxa" w:w="120"/>
            </w:tcMar>
          </w:tcPr>
          <w:p>
            <w:pPr>
              <w:jc w:val="left"/>
            </w:pPr>
            <w:r>
              <w:rPr>
                <w:b/>
                <w:bCs/>
                <w:color w:val="FFFFFF"/>
                <w:sz w:val="18"/>
                <w:szCs w:val="18"/>
              </w:rPr>
              <w:t xml:space="preserve">Severity</w:t>
            </w:r>
          </w:p>
        </w:tc>
        <w:tc>
          <w:tcPr>
            <w:shd w:fill="1F4E79" w:color="auto" w:val="clear"/>
            <w:tcMar>
              <w:top w:type="dxa" w:w="80"/>
              <w:left w:type="dxa" w:w="120"/>
              <w:bottom w:type="dxa" w:w="80"/>
              <w:right w:type="dxa" w:w="120"/>
            </w:tcMar>
          </w:tcPr>
          <w:p>
            <w:pPr>
              <w:jc w:val="left"/>
            </w:pPr>
            <w:r>
              <w:rPr>
                <w:b/>
                <w:bCs/>
                <w:color w:val="FFFFFF"/>
                <w:sz w:val="18"/>
                <w:szCs w:val="18"/>
              </w:rPr>
              <w:t xml:space="preserve">Root Cause</w:t>
            </w:r>
          </w:p>
        </w:tc>
      </w:tr>
      <w:tr>
        <w:tc>
          <w:tcPr>
            <w:tcMar>
              <w:top w:type="dxa" w:w="60"/>
              <w:left w:type="dxa" w:w="120"/>
              <w:bottom w:type="dxa" w:w="60"/>
              <w:right w:type="dxa" w:w="120"/>
            </w:tcMar>
          </w:tcPr>
          <w:p>
            <w:pPr>
              <w:jc w:val="left"/>
            </w:pPr>
            <w:r>
              <w:rPr>
                <w:b w:val="false"/>
                <w:bCs w:val="false"/>
                <w:color w:val="1A1A1A"/>
                <w:sz w:val="18"/>
                <w:szCs w:val="18"/>
              </w:rPr>
              <w:t xml:space="preserve">P-001</w:t>
            </w:r>
          </w:p>
        </w:tc>
        <w:tc>
          <w:tcPr>
            <w:tcMar>
              <w:top w:type="dxa" w:w="60"/>
              <w:left w:type="dxa" w:w="120"/>
              <w:bottom w:type="dxa" w:w="60"/>
              <w:right w:type="dxa" w:w="120"/>
            </w:tcMar>
          </w:tcPr>
          <w:p>
            <w:pPr>
              <w:jc w:val="left"/>
            </w:pPr>
            <w:r>
              <w:rPr>
                <w:b w:val="false"/>
                <w:bCs w:val="false"/>
                <w:color w:val="1A1A1A"/>
                <w:sz w:val="18"/>
                <w:szCs w:val="18"/>
              </w:rPr>
              <w:t xml:space="preserve">No change management capability</w:t>
            </w:r>
          </w:p>
        </w:tc>
        <w:tc>
          <w:tcPr>
            <w:tcMar>
              <w:top w:type="dxa" w:w="60"/>
              <w:left w:type="dxa" w:w="120"/>
              <w:bottom w:type="dxa" w:w="60"/>
              <w:right w:type="dxa" w:w="120"/>
            </w:tcMar>
          </w:tcPr>
          <w:p>
            <w:pPr>
              <w:jc w:val="left"/>
            </w:pPr>
            <w:r>
              <w:rPr>
                <w:b w:val="false"/>
                <w:bCs w:val="false"/>
                <w:color w:val="1A1A1A"/>
                <w:sz w:val="18"/>
                <w:szCs w:val="18"/>
              </w:rPr>
              <w:t xml:space="preserve">No dedicated change manager in the organisation. Previous system changes have had low adoption.</w:t>
            </w:r>
          </w:p>
        </w:tc>
        <w:tc>
          <w:tcPr>
            <w:tcMar>
              <w:top w:type="dxa" w:w="60"/>
              <w:left w:type="dxa" w:w="120"/>
              <w:bottom w:type="dxa" w:w="60"/>
              <w:right w:type="dxa" w:w="120"/>
            </w:tcMar>
          </w:tcPr>
          <w:p>
            <w:pPr>
              <w:jc w:val="left"/>
            </w:pPr>
            <w:r>
              <w:rPr>
                <w:b w:val="false"/>
                <w:bCs w:val="false"/>
                <w:color w:val="1A1A1A"/>
                <w:sz w:val="18"/>
                <w:szCs w:val="18"/>
              </w:rPr>
              <w:t xml:space="preserve">Structured change management plan covering communication, training, and adoption monitoring.</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Historic underinvestment in change capability; technology projects treated as IT projects, not business change</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P-002</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Digital skills gap among Claims Handlers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4 of 8 Claims Handlers self-assessed as 'not confident' with digital systems. No formal digital skills training in the last 3 years.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All handlers confident to use digital claims system independently within 4 weeks of go-live.</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Legacy system is very basic (menu-driven, no modern UI) — handlers have not developed transferable digital skills</w:t>
            </w:r>
          </w:p>
        </w:tc>
      </w:tr>
      <w:tr>
        <w:tc>
          <w:tcPr>
            <w:tcMar>
              <w:top w:type="dxa" w:w="60"/>
              <w:left w:type="dxa" w:w="120"/>
              <w:bottom w:type="dxa" w:w="60"/>
              <w:right w:type="dxa" w:w="120"/>
            </w:tcMar>
          </w:tcPr>
          <w:p>
            <w:pPr>
              <w:jc w:val="left"/>
            </w:pPr>
            <w:r>
              <w:rPr>
                <w:b w:val="false"/>
                <w:bCs w:val="false"/>
                <w:color w:val="1A1A1A"/>
                <w:sz w:val="18"/>
                <w:szCs w:val="18"/>
              </w:rPr>
              <w:t xml:space="preserve">P-003</w:t>
            </w:r>
          </w:p>
        </w:tc>
        <w:tc>
          <w:tcPr>
            <w:tcMar>
              <w:top w:type="dxa" w:w="60"/>
              <w:left w:type="dxa" w:w="120"/>
              <w:bottom w:type="dxa" w:w="60"/>
              <w:right w:type="dxa" w:w="120"/>
            </w:tcMar>
          </w:tcPr>
          <w:p>
            <w:pPr>
              <w:jc w:val="left"/>
            </w:pPr>
            <w:r>
              <w:rPr>
                <w:b w:val="false"/>
                <w:bCs w:val="false"/>
                <w:color w:val="1A1A1A"/>
                <w:sz w:val="18"/>
                <w:szCs w:val="18"/>
              </w:rPr>
              <w:t xml:space="preserve">Staff resistance risk</w:t>
            </w:r>
          </w:p>
        </w:tc>
        <w:tc>
          <w:tcPr>
            <w:tcMar>
              <w:top w:type="dxa" w:w="60"/>
              <w:left w:type="dxa" w:w="120"/>
              <w:bottom w:type="dxa" w:w="60"/>
              <w:right w:type="dxa" w:w="120"/>
            </w:tcMar>
          </w:tcPr>
          <w:p>
            <w:pPr>
              <w:jc w:val="left"/>
            </w:pPr>
            <w:r>
              <w:rPr>
                <w:b w:val="false"/>
                <w:bCs w:val="false"/>
                <w:color w:val="1A1A1A"/>
                <w:sz w:val="18"/>
                <w:szCs w:val="18"/>
              </w:rPr>
              <w:t xml:space="preserve">Workshop surfaced concerns from handlers about 'being monitored' by a digital system. Two handlers expressed concern about job security.</w:t>
            </w:r>
          </w:p>
        </w:tc>
        <w:tc>
          <w:tcPr>
            <w:tcMar>
              <w:top w:type="dxa" w:w="60"/>
              <w:left w:type="dxa" w:w="120"/>
              <w:bottom w:type="dxa" w:w="60"/>
              <w:right w:type="dxa" w:w="120"/>
            </w:tcMar>
          </w:tcPr>
          <w:p>
            <w:pPr>
              <w:jc w:val="left"/>
            </w:pPr>
            <w:r>
              <w:rPr>
                <w:b w:val="false"/>
                <w:bCs w:val="false"/>
                <w:color w:val="1A1A1A"/>
                <w:sz w:val="18"/>
                <w:szCs w:val="18"/>
              </w:rPr>
              <w:t xml:space="preserve">Handlers engaged as stakeholders and change champions; transparent communication about how data will and won't be used.</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Lack of prior communication about the programme; handlers heard about it informally before any formal announcement</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P-004</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Supervisor role not defined for new model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Current supervisor spends 2 hours every morning manually routing claims. This task disappears in the new model but the role has not been redesigned.</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Supervisor role redefined to cover exception handling, quality assurance, and dashboard monitoring.</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Transformation scoped as technology change only; role design not in original project scope</w:t>
            </w:r>
          </w:p>
        </w:tc>
      </w:tr>
      <w:tr>
        <w:tc>
          <w:tcPr>
            <w:tcMar>
              <w:top w:type="dxa" w:w="60"/>
              <w:left w:type="dxa" w:w="120"/>
              <w:bottom w:type="dxa" w:w="60"/>
              <w:right w:type="dxa" w:w="120"/>
            </w:tcMar>
          </w:tcPr>
          <w:p>
            <w:pPr>
              <w:jc w:val="left"/>
            </w:pPr>
            <w:r>
              <w:rPr>
                <w:b w:val="false"/>
                <w:bCs w:val="false"/>
                <w:color w:val="1A1A1A"/>
                <w:sz w:val="18"/>
                <w:szCs w:val="18"/>
              </w:rPr>
              <w:t xml:space="preserve">P-005</w:t>
            </w:r>
          </w:p>
        </w:tc>
        <w:tc>
          <w:tcPr>
            <w:tcMar>
              <w:top w:type="dxa" w:w="60"/>
              <w:left w:type="dxa" w:w="120"/>
              <w:bottom w:type="dxa" w:w="60"/>
              <w:right w:type="dxa" w:w="120"/>
            </w:tcMar>
          </w:tcPr>
          <w:p>
            <w:pPr>
              <w:jc w:val="left"/>
            </w:pPr>
            <w:r>
              <w:rPr>
                <w:b w:val="false"/>
                <w:bCs w:val="false"/>
                <w:color w:val="1A1A1A"/>
                <w:sz w:val="18"/>
                <w:szCs w:val="18"/>
              </w:rPr>
              <w:t xml:space="preserve">No digital claimant support</w:t>
            </w:r>
          </w:p>
        </w:tc>
        <w:tc>
          <w:tcPr>
            <w:tcMar>
              <w:top w:type="dxa" w:w="60"/>
              <w:left w:type="dxa" w:w="120"/>
              <w:bottom w:type="dxa" w:w="60"/>
              <w:right w:type="dxa" w:w="120"/>
            </w:tcMar>
          </w:tcPr>
          <w:p>
            <w:pPr>
              <w:jc w:val="left"/>
            </w:pPr>
            <w:r>
              <w:rPr>
                <w:b w:val="false"/>
                <w:bCs w:val="false"/>
                <w:color w:val="1A1A1A"/>
                <w:sz w:val="18"/>
                <w:szCs w:val="18"/>
              </w:rPr>
              <w:t xml:space="preserve">Currently claimants who struggle with the process call the support line. No plans for assisted digital service for claimants who cannot use the online form.</w:t>
            </w:r>
          </w:p>
        </w:tc>
        <w:tc>
          <w:tcPr>
            <w:tcMar>
              <w:top w:type="dxa" w:w="60"/>
              <w:left w:type="dxa" w:w="120"/>
              <w:bottom w:type="dxa" w:w="60"/>
              <w:right w:type="dxa" w:w="120"/>
            </w:tcMar>
          </w:tcPr>
          <w:p>
            <w:pPr>
              <w:jc w:val="left"/>
            </w:pPr>
            <w:r>
              <w:rPr>
                <w:b w:val="false"/>
                <w:bCs w:val="false"/>
                <w:color w:val="1A1A1A"/>
                <w:sz w:val="18"/>
                <w:szCs w:val="18"/>
              </w:rPr>
              <w:t xml:space="preserve">Assisted digital service available: agent completes the digital form on behalf of claimant during a phone call.</w:t>
            </w:r>
          </w:p>
        </w:tc>
        <w:tc>
          <w:tcPr>
            <w:tcMar>
              <w:top w:type="dxa" w:w="60"/>
              <w:left w:type="dxa" w:w="120"/>
              <w:bottom w:type="dxa" w:w="60"/>
              <w:right w:type="dxa" w:w="120"/>
            </w:tcMar>
          </w:tcPr>
          <w:p>
            <w:pPr>
              <w:jc w:val="left"/>
            </w:pPr>
            <w:r>
              <w:rPr>
                <w:b/>
                <w:bCs/>
                <w:color w:val="5A5A00"/>
                <w:sz w:val="18"/>
                <w:szCs w:val="18"/>
              </w:rPr>
              <w:t xml:space="preserve">Medium</w:t>
            </w:r>
          </w:p>
        </w:tc>
        <w:tc>
          <w:tcPr>
            <w:tcMar>
              <w:top w:type="dxa" w:w="60"/>
              <w:left w:type="dxa" w:w="120"/>
              <w:bottom w:type="dxa" w:w="60"/>
              <w:right w:type="dxa" w:w="120"/>
            </w:tcMar>
          </w:tcPr>
          <w:p>
            <w:pPr>
              <w:jc w:val="left"/>
            </w:pPr>
            <w:r>
              <w:rPr>
                <w:b w:val="false"/>
                <w:bCs w:val="false"/>
                <w:color w:val="1A1A1A"/>
                <w:sz w:val="18"/>
                <w:szCs w:val="18"/>
              </w:rPr>
              <w:t xml:space="preserve">Digital inclusion not in original scope; identified during elicitation as a risk for older or less digitally confident claimants</w:t>
            </w:r>
          </w:p>
        </w:tc>
      </w:tr>
    </w:tbl>
    <w:p>
      <w:pPr>
        <w:spacing w:before="200"/>
      </w:pPr>
    </w:p>
    <w:p>
      <w:pPr>
        <w:spacing w:after="150" w:before="300"/>
      </w:pPr>
      <w:r>
        <w:rPr>
          <w:b/>
          <w:bCs/>
          <w:color w:val="2E75B6"/>
          <w:sz w:val="24"/>
          <w:szCs w:val="24"/>
        </w:rPr>
        <w:t xml:space="preserve">3.1 People Recommendations</w:t>
      </w:r>
    </w:p>
    <w:p>
      <w:pPr>
        <w:spacing w:after="60" w:before="60"/>
        <w:ind w:left="360"/>
      </w:pPr>
      <w:r>
        <w:rPr>
          <w:color w:val="1A1A1A"/>
          <w:sz w:val="20"/>
          <w:szCs w:val="20"/>
        </w:rPr>
        <w:t xml:space="preserve">• P-001: Appoint an interim Change Manager before the project enters build phase. If budget does not permit a dedicated hire, assign the Operations Director as executive change sponsor and contract a specialist for the go-live period.</w:t>
      </w:r>
    </w:p>
    <w:p>
      <w:pPr>
        <w:spacing w:after="60" w:before="60"/>
        <w:ind w:left="360"/>
      </w:pPr>
      <w:r>
        <w:rPr>
          <w:color w:val="1A1A1A"/>
          <w:sz w:val="20"/>
          <w:szCs w:val="20"/>
        </w:rPr>
        <w:t xml:space="preserve">• P-002: Design training using real claim scenarios from the current process. Generic system demos have low impact. Identify two handlers as 'digital champions' to support their colleagues post-launch.</w:t>
      </w:r>
    </w:p>
    <w:p>
      <w:pPr>
        <w:spacing w:after="60" w:before="60"/>
        <w:ind w:left="360"/>
      </w:pPr>
      <w:r>
        <w:rPr>
          <w:color w:val="1A1A1A"/>
          <w:sz w:val="20"/>
          <w:szCs w:val="20"/>
        </w:rPr>
        <w:t xml:space="preserve">• P-003: Communicate the programme formally before build starts. Be explicit about what data will and won't be monitored. Address job security concerns directly — the programme is about removing paperwork, not headcount.</w:t>
      </w:r>
    </w:p>
    <w:p>
      <w:pPr>
        <w:spacing w:after="60" w:before="60"/>
        <w:ind w:left="360"/>
      </w:pPr>
      <w:r>
        <w:rPr>
          <w:color w:val="1A1A1A"/>
          <w:sz w:val="20"/>
          <w:szCs w:val="20"/>
        </w:rPr>
        <w:t xml:space="preserve">• P-004: Include supervisor role redesign in the project scope. Define the TO-BE role before go-live and agree it with the individual.</w:t>
      </w:r>
    </w:p>
    <w:p>
      <w:pPr>
        <w:spacing w:after="60" w:before="60"/>
        <w:ind w:left="360"/>
      </w:pPr>
      <w:r>
        <w:rPr>
          <w:color w:val="1A1A1A"/>
          <w:sz w:val="20"/>
          <w:szCs w:val="20"/>
        </w:rPr>
        <w:t xml:space="preserve">• P-005: Build assisted digital as a requirement in scope (see IR-018 in the MoSCoW register). Add to the digital form requirements: agent can complete form on claimant's behalf during a call.</w:t>
      </w:r>
    </w:p>
    <w:p>
      <w:r>
        <w:br w:type="page"/>
      </w:r>
    </w:p>
    <w:p>
      <w:pPr>
        <w:pBdr>
          <w:bottom w:val="single" w:color="2E75B6" w:sz="8"/>
        </w:pBdr>
        <w:spacing w:after="200" w:before="400"/>
      </w:pPr>
      <w:r>
        <w:rPr>
          <w:b/>
          <w:bCs/>
          <w:color w:val="1F4E79"/>
          <w:sz w:val="30"/>
          <w:szCs w:val="30"/>
        </w:rPr>
        <w:t xml:space="preserve">4. Process Gaps</w:t>
      </w:r>
    </w:p>
    <w:p>
      <w:pPr>
        <w:spacing w:after="80" w:before="80"/>
      </w:pPr>
      <w:r>
        <w:rPr>
          <w:color w:val="1A1A1A"/>
          <w:sz w:val="20"/>
          <w:szCs w:val="20"/>
        </w:rPr>
        <w:t xml:space="preserve">The Process dimension covers the workflows, handoffs, controls, and communication patterns in the current claims process.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Gap ID</w:t>
            </w:r>
          </w:p>
        </w:tc>
        <w:tc>
          <w:tcPr>
            <w:shd w:fill="1F4E79" w:color="auto" w:val="clear"/>
            <w:tcMar>
              <w:top w:type="dxa" w:w="80"/>
              <w:left w:type="dxa" w:w="120"/>
              <w:bottom w:type="dxa" w:w="80"/>
              <w:right w:type="dxa" w:w="120"/>
            </w:tcMar>
          </w:tcPr>
          <w:p>
            <w:pPr>
              <w:jc w:val="left"/>
            </w:pPr>
            <w:r>
              <w:rPr>
                <w:b/>
                <w:bCs/>
                <w:color w:val="FFFFFF"/>
                <w:sz w:val="18"/>
                <w:szCs w:val="18"/>
              </w:rPr>
              <w:t xml:space="preserve">Gap Description</w:t>
            </w:r>
          </w:p>
        </w:tc>
        <w:tc>
          <w:tcPr>
            <w:shd w:fill="1F4E79" w:color="auto" w:val="clear"/>
            <w:tcMar>
              <w:top w:type="dxa" w:w="80"/>
              <w:left w:type="dxa" w:w="120"/>
              <w:bottom w:type="dxa" w:w="80"/>
              <w:right w:type="dxa" w:w="120"/>
            </w:tcMar>
          </w:tcPr>
          <w:p>
            <w:pPr>
              <w:jc w:val="left"/>
            </w:pPr>
            <w:r>
              <w:rPr>
                <w:b/>
                <w:bCs/>
                <w:color w:val="FFFFFF"/>
                <w:sz w:val="18"/>
                <w:szCs w:val="18"/>
              </w:rPr>
              <w:t xml:space="preserve">Current State</w:t>
            </w:r>
          </w:p>
        </w:tc>
        <w:tc>
          <w:tcPr>
            <w:shd w:fill="1F4E79" w:color="auto" w:val="clear"/>
            <w:tcMar>
              <w:top w:type="dxa" w:w="80"/>
              <w:left w:type="dxa" w:w="120"/>
              <w:bottom w:type="dxa" w:w="80"/>
              <w:right w:type="dxa" w:w="120"/>
            </w:tcMar>
          </w:tcPr>
          <w:p>
            <w:pPr>
              <w:jc w:val="left"/>
            </w:pPr>
            <w:r>
              <w:rPr>
                <w:b/>
                <w:bCs/>
                <w:color w:val="FFFFFF"/>
                <w:sz w:val="18"/>
                <w:szCs w:val="18"/>
              </w:rPr>
              <w:t xml:space="preserve">Target State</w:t>
            </w:r>
          </w:p>
        </w:tc>
        <w:tc>
          <w:tcPr>
            <w:shd w:fill="1F4E79" w:color="auto" w:val="clear"/>
            <w:tcMar>
              <w:top w:type="dxa" w:w="80"/>
              <w:left w:type="dxa" w:w="120"/>
              <w:bottom w:type="dxa" w:w="80"/>
              <w:right w:type="dxa" w:w="120"/>
            </w:tcMar>
          </w:tcPr>
          <w:p>
            <w:pPr>
              <w:jc w:val="left"/>
            </w:pPr>
            <w:r>
              <w:rPr>
                <w:b/>
                <w:bCs/>
                <w:color w:val="FFFFFF"/>
                <w:sz w:val="18"/>
                <w:szCs w:val="18"/>
              </w:rPr>
              <w:t xml:space="preserve">Severity</w:t>
            </w:r>
          </w:p>
        </w:tc>
        <w:tc>
          <w:tcPr>
            <w:shd w:fill="1F4E79" w:color="auto" w:val="clear"/>
            <w:tcMar>
              <w:top w:type="dxa" w:w="80"/>
              <w:left w:type="dxa" w:w="120"/>
              <w:bottom w:type="dxa" w:w="80"/>
              <w:right w:type="dxa" w:w="120"/>
            </w:tcMar>
          </w:tcPr>
          <w:p>
            <w:pPr>
              <w:jc w:val="left"/>
            </w:pPr>
            <w:r>
              <w:rPr>
                <w:b/>
                <w:bCs/>
                <w:color w:val="FFFFFF"/>
                <w:sz w:val="18"/>
                <w:szCs w:val="18"/>
              </w:rPr>
              <w:t xml:space="preserve">Evidence</w:t>
            </w:r>
          </w:p>
        </w:tc>
      </w:tr>
      <w:tr>
        <w:tc>
          <w:tcPr>
            <w:tcMar>
              <w:top w:type="dxa" w:w="60"/>
              <w:left w:type="dxa" w:w="120"/>
              <w:bottom w:type="dxa" w:w="60"/>
              <w:right w:type="dxa" w:w="120"/>
            </w:tcMar>
          </w:tcPr>
          <w:p>
            <w:pPr>
              <w:jc w:val="left"/>
            </w:pPr>
            <w:r>
              <w:rPr>
                <w:b w:val="false"/>
                <w:bCs w:val="false"/>
                <w:color w:val="1A1A1A"/>
                <w:sz w:val="18"/>
                <w:szCs w:val="18"/>
              </w:rPr>
              <w:t xml:space="preserve">PR-001</w:t>
            </w:r>
          </w:p>
        </w:tc>
        <w:tc>
          <w:tcPr>
            <w:tcMar>
              <w:top w:type="dxa" w:w="60"/>
              <w:left w:type="dxa" w:w="120"/>
              <w:bottom w:type="dxa" w:w="60"/>
              <w:right w:type="dxa" w:w="120"/>
            </w:tcMar>
          </w:tcPr>
          <w:p>
            <w:pPr>
              <w:jc w:val="left"/>
            </w:pPr>
            <w:r>
              <w:rPr>
                <w:b w:val="false"/>
                <w:bCs w:val="false"/>
                <w:color w:val="1A1A1A"/>
                <w:sz w:val="18"/>
                <w:szCs w:val="18"/>
              </w:rPr>
              <w:t xml:space="preserve">Manual claim routing causes 2-day average delay</w:t>
            </w:r>
          </w:p>
        </w:tc>
        <w:tc>
          <w:tcPr>
            <w:tcMar>
              <w:top w:type="dxa" w:w="60"/>
              <w:left w:type="dxa" w:w="120"/>
              <w:bottom w:type="dxa" w:w="60"/>
              <w:right w:type="dxa" w:w="120"/>
            </w:tcMar>
          </w:tcPr>
          <w:p>
            <w:pPr>
              <w:jc w:val="left"/>
            </w:pPr>
            <w:r>
              <w:rPr>
                <w:b w:val="false"/>
                <w:bCs w:val="false"/>
                <w:color w:val="1A1A1A"/>
                <w:sz w:val="18"/>
                <w:szCs w:val="18"/>
              </w:rPr>
              <w:t xml:space="preserve">Supervisor manually routes each claim each morning by reviewing the shared inbox and assigning based on handler availability and claim type.</w:t>
            </w:r>
          </w:p>
        </w:tc>
        <w:tc>
          <w:tcPr>
            <w:tcMar>
              <w:top w:type="dxa" w:w="60"/>
              <w:left w:type="dxa" w:w="120"/>
              <w:bottom w:type="dxa" w:w="60"/>
              <w:right w:type="dxa" w:w="120"/>
            </w:tcMar>
          </w:tcPr>
          <w:p>
            <w:pPr>
              <w:jc w:val="left"/>
            </w:pPr>
            <w:r>
              <w:rPr>
                <w:b w:val="false"/>
                <w:bCs w:val="false"/>
                <w:color w:val="1A1A1A"/>
                <w:sz w:val="18"/>
                <w:szCs w:val="18"/>
              </w:rPr>
              <w:t xml:space="preserve">Automated routing within 1 hour of claim submission based on claim type, value, and handler workload.</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5 Whys root cause. Handlers confirmed 2-day average wait. Supervisor confirmed manual process takes 2 hours daily.</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PR-002</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Paper form errors cause 18% rework rate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Paper forms are handwritten. Errors, missing fields, and illegible writing are identified at data entry stage — after the form has been routed. Rework requires going back to the claimant.</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Digital form with mandatory field validation and format checking at point of submission. Errors caught before any handler touches the claim.</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Claims Manager confirmed 18% rework rate from monthly reports. Handler interview: 'at least 3 or 4 a week need to go back to the customer.'</w:t>
            </w:r>
          </w:p>
        </w:tc>
      </w:tr>
      <w:tr>
        <w:tc>
          <w:tcPr>
            <w:tcMar>
              <w:top w:type="dxa" w:w="60"/>
              <w:left w:type="dxa" w:w="120"/>
              <w:bottom w:type="dxa" w:w="60"/>
              <w:right w:type="dxa" w:w="120"/>
            </w:tcMar>
          </w:tcPr>
          <w:p>
            <w:pPr>
              <w:jc w:val="left"/>
            </w:pPr>
            <w:r>
              <w:rPr>
                <w:b w:val="false"/>
                <w:bCs w:val="false"/>
                <w:color w:val="1A1A1A"/>
                <w:sz w:val="18"/>
                <w:szCs w:val="18"/>
              </w:rPr>
              <w:t xml:space="preserve">PR-003</w:t>
            </w:r>
          </w:p>
        </w:tc>
        <w:tc>
          <w:tcPr>
            <w:tcMar>
              <w:top w:type="dxa" w:w="60"/>
              <w:left w:type="dxa" w:w="120"/>
              <w:bottom w:type="dxa" w:w="60"/>
              <w:right w:type="dxa" w:w="120"/>
            </w:tcMar>
          </w:tcPr>
          <w:p>
            <w:pPr>
              <w:jc w:val="left"/>
            </w:pPr>
            <w:r>
              <w:rPr>
                <w:b w:val="false"/>
                <w:bCs w:val="false"/>
                <w:color w:val="1A1A1A"/>
                <w:sz w:val="18"/>
                <w:szCs w:val="18"/>
              </w:rPr>
              <w:t xml:space="preserve">No SLA monitoring or early warning</w:t>
            </w:r>
          </w:p>
        </w:tc>
        <w:tc>
          <w:tcPr>
            <w:tcMar>
              <w:top w:type="dxa" w:w="60"/>
              <w:left w:type="dxa" w:w="120"/>
              <w:bottom w:type="dxa" w:w="60"/>
              <w:right w:type="dxa" w:w="120"/>
            </w:tcMar>
          </w:tcPr>
          <w:p>
            <w:pPr>
              <w:jc w:val="left"/>
            </w:pPr>
            <w:r>
              <w:rPr>
                <w:b w:val="false"/>
                <w:bCs w:val="false"/>
                <w:color w:val="1A1A1A"/>
                <w:sz w:val="18"/>
                <w:szCs w:val="18"/>
              </w:rPr>
              <w:t xml:space="preserve">Management learn about SLA breaches from the weekly report — after the breach has occurred. No real-time visibility, no early warning trigger.</w:t>
            </w:r>
          </w:p>
        </w:tc>
        <w:tc>
          <w:tcPr>
            <w:tcMar>
              <w:top w:type="dxa" w:w="60"/>
              <w:left w:type="dxa" w:w="120"/>
              <w:bottom w:type="dxa" w:w="60"/>
              <w:right w:type="dxa" w:w="120"/>
            </w:tcMar>
          </w:tcPr>
          <w:p>
            <w:pPr>
              <w:jc w:val="left"/>
            </w:pPr>
            <w:r>
              <w:rPr>
                <w:b w:val="false"/>
                <w:bCs w:val="false"/>
                <w:color w:val="1A1A1A"/>
                <w:sz w:val="18"/>
                <w:szCs w:val="18"/>
              </w:rPr>
              <w:t xml:space="preserve">Live dashboard flags any claim that has not progressed past each stage within the defined SLA window. Manager alerted at 80% of SLA time remaining.</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Operations Director confirmed: 'We find out on Monday morning. By then it's too late.' Excel Workaround #3 (payment pending log) exists specifically to compensate for this.</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PR-004</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customer communication between submission and decision</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Claimants submit their claim and hear nothing until a decision letter is posted. Average decision time: 14 days. No acknowledgement, no status updates, no intermediate contact.</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Automated status notifications at each stage: submission received, under review, decision made, payment processed.</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Customer satisfaction survey data shows 'lack of communication' as top complaint. Excel Workaround #4 (customer callback log) exists because callbacks are the only way to give claimants a status update.</w:t>
            </w:r>
          </w:p>
        </w:tc>
      </w:tr>
      <w:tr>
        <w:tc>
          <w:tcPr>
            <w:tcMar>
              <w:top w:type="dxa" w:w="60"/>
              <w:left w:type="dxa" w:w="120"/>
              <w:bottom w:type="dxa" w:w="60"/>
              <w:right w:type="dxa" w:w="120"/>
            </w:tcMar>
          </w:tcPr>
          <w:p>
            <w:pPr>
              <w:jc w:val="left"/>
            </w:pPr>
            <w:r>
              <w:rPr>
                <w:b w:val="false"/>
                <w:bCs w:val="false"/>
                <w:color w:val="1A1A1A"/>
                <w:sz w:val="18"/>
                <w:szCs w:val="18"/>
              </w:rPr>
              <w:t xml:space="preserve">PR-005</w:t>
            </w:r>
          </w:p>
        </w:tc>
        <w:tc>
          <w:tcPr>
            <w:tcMar>
              <w:top w:type="dxa" w:w="60"/>
              <w:left w:type="dxa" w:w="120"/>
              <w:bottom w:type="dxa" w:w="60"/>
              <w:right w:type="dxa" w:w="120"/>
            </w:tcMar>
          </w:tcPr>
          <w:p>
            <w:pPr>
              <w:jc w:val="left"/>
            </w:pPr>
            <w:r>
              <w:rPr>
                <w:b w:val="false"/>
                <w:bCs w:val="false"/>
                <w:color w:val="1A1A1A"/>
                <w:sz w:val="18"/>
                <w:szCs w:val="18"/>
              </w:rPr>
              <w:t xml:space="preserve">Manual finance payment re-entry</w:t>
            </w:r>
          </w:p>
        </w:tc>
        <w:tc>
          <w:tcPr>
            <w:tcMar>
              <w:top w:type="dxa" w:w="60"/>
              <w:left w:type="dxa" w:w="120"/>
              <w:bottom w:type="dxa" w:w="60"/>
              <w:right w:type="dxa" w:w="120"/>
            </w:tcMar>
          </w:tcPr>
          <w:p>
            <w:pPr>
              <w:jc w:val="left"/>
            </w:pPr>
            <w:r>
              <w:rPr>
                <w:b w:val="false"/>
                <w:bCs w:val="false"/>
                <w:color w:val="1A1A1A"/>
                <w:sz w:val="18"/>
                <w:szCs w:val="18"/>
              </w:rPr>
              <w:t xml:space="preserve">Once a claim is approved, the payment details are printed from the legacy system and manually re-keyed into Sage for payment processing. No automated handoff exists.</w:t>
            </w:r>
          </w:p>
        </w:tc>
        <w:tc>
          <w:tcPr>
            <w:tcMar>
              <w:top w:type="dxa" w:w="60"/>
              <w:left w:type="dxa" w:w="120"/>
              <w:bottom w:type="dxa" w:w="60"/>
              <w:right w:type="dxa" w:w="120"/>
            </w:tcMar>
          </w:tcPr>
          <w:p>
            <w:pPr>
              <w:jc w:val="left"/>
            </w:pPr>
            <w:r>
              <w:rPr>
                <w:b w:val="false"/>
                <w:bCs w:val="false"/>
                <w:color w:val="1A1A1A"/>
                <w:sz w:val="18"/>
                <w:szCs w:val="18"/>
              </w:rPr>
              <w:t xml:space="preserve">Approved claim payment details transferred to Sage automatically via API integration. Zero manual re-entry.</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Finance Director confirmed: 'One person spends most of their day doing re-entry. It's about 70 transactions a week.' This is the single largest source of staff time overhead.</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PR-006</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documented process for complex or disputed claims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Standard claims follow an informal 6-step process. Complex claims (high value, disputed, litigation risk) are escalated ad hoc to the senior handler with no defined escalation criteria.</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Documented escalation criteria with defined thresholds (claim value &gt; £5,000, disputed liability, legal correspondence received) and a structured review workflow.</w:t>
            </w:r>
          </w:p>
        </w:tc>
        <w:tc>
          <w:tcPr>
            <w:shd w:fill="F5F5F5" w:color="auto" w:val="clear"/>
            <w:tcMar>
              <w:top w:type="dxa" w:w="60"/>
              <w:left w:type="dxa" w:w="120"/>
              <w:bottom w:type="dxa" w:w="60"/>
              <w:right w:type="dxa" w:w="120"/>
            </w:tcMar>
          </w:tcPr>
          <w:p>
            <w:pPr>
              <w:jc w:val="left"/>
            </w:pPr>
            <w:r>
              <w:rPr>
                <w:b/>
                <w:bCs/>
                <w:color w:val="5A5A00"/>
                <w:sz w:val="18"/>
                <w:szCs w:val="18"/>
              </w:rPr>
              <w:t xml:space="preserve">Medium</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Claims Manager: 'We sort of know which ones to escalate, but there's nothing written down.' Senior handler interview confirmed inconsistent escalation.</w:t>
            </w:r>
          </w:p>
        </w:tc>
      </w:tr>
    </w:tbl>
    <w:p>
      <w:pPr>
        <w:spacing w:before="200"/>
      </w:pPr>
    </w:p>
    <w:p>
      <w:pPr>
        <w:spacing w:after="150" w:before="300"/>
      </w:pPr>
      <w:r>
        <w:rPr>
          <w:b/>
          <w:bCs/>
          <w:color w:val="2E75B6"/>
          <w:sz w:val="24"/>
          <w:szCs w:val="24"/>
        </w:rPr>
        <w:t xml:space="preserve">4.1 Process Recommendations</w:t>
      </w:r>
    </w:p>
    <w:p>
      <w:pPr>
        <w:spacing w:after="60" w:before="60"/>
        <w:ind w:left="360"/>
      </w:pPr>
      <w:r>
        <w:rPr>
          <w:color w:val="1A1A1A"/>
          <w:sz w:val="20"/>
          <w:szCs w:val="20"/>
        </w:rPr>
        <w:t xml:space="preserve">• PR-001: Automated routing is the single highest-priority process change. Saving 2 days of assignment delay reduces processing time from 14 to 12 days immediately, before any other improvement is made. Define routing rules as a must-have requirement.</w:t>
      </w:r>
    </w:p>
    <w:p>
      <w:pPr>
        <w:spacing w:after="60" w:before="60"/>
        <w:ind w:left="360"/>
      </w:pPr>
      <w:r>
        <w:rPr>
          <w:color w:val="1A1A1A"/>
          <w:sz w:val="20"/>
          <w:szCs w:val="20"/>
        </w:rPr>
        <w:t xml:space="preserve">• PR-002: Digital form validation must be built into the form requirements. Mandatory fields, format validation (National Insurance number format, date format), and document upload must all be validated before the claimant can submit.</w:t>
      </w:r>
    </w:p>
    <w:p>
      <w:pPr>
        <w:spacing w:after="60" w:before="60"/>
        <w:ind w:left="360"/>
      </w:pPr>
      <w:r>
        <w:rPr>
          <w:color w:val="1A1A1A"/>
          <w:sz w:val="20"/>
          <w:szCs w:val="20"/>
        </w:rPr>
        <w:t xml:space="preserve">• PR-003: Dashboard SLA alerting should fire at 80% of SLA time remaining, not at 100%. This gives the manager time to intervene. Include this in the reporting requirements.</w:t>
      </w:r>
    </w:p>
    <w:p>
      <w:pPr>
        <w:spacing w:after="60" w:before="60"/>
        <w:ind w:left="360"/>
      </w:pPr>
      <w:r>
        <w:rPr>
          <w:color w:val="1A1A1A"/>
          <w:sz w:val="20"/>
          <w:szCs w:val="20"/>
        </w:rPr>
        <w:t xml:space="preserve">• PR-004: Map the TO-BE customer communication journey and define the trigger for each automated notification in the requirements. These are quick wins for NPS improvement.</w:t>
      </w:r>
    </w:p>
    <w:p>
      <w:pPr>
        <w:spacing w:after="60" w:before="60"/>
        <w:ind w:left="360"/>
      </w:pPr>
      <w:r>
        <w:rPr>
          <w:color w:val="1A1A1A"/>
          <w:sz w:val="20"/>
          <w:szCs w:val="20"/>
        </w:rPr>
        <w:t xml:space="preserve">• PR-005: Finance integration is technically complex (Sage API) but the ROI is clear — it removes the single largest manual process in the operation. Treat as must-have, prioritise technical scoping early.</w:t>
      </w:r>
    </w:p>
    <w:p>
      <w:pPr>
        <w:spacing w:after="60" w:before="60"/>
        <w:ind w:left="360"/>
      </w:pPr>
      <w:r>
        <w:rPr>
          <w:color w:val="1A1A1A"/>
          <w:sz w:val="20"/>
          <w:szCs w:val="20"/>
        </w:rPr>
        <w:t xml:space="preserve">• PR-006: Escalation criteria documentation is lower urgency but reduces risk. Can be done as a Confluence process document in parallel with system build.</w:t>
      </w:r>
    </w:p>
    <w:p>
      <w:r>
        <w:br w:type="page"/>
      </w:r>
    </w:p>
    <w:p>
      <w:pPr>
        <w:pBdr>
          <w:bottom w:val="single" w:color="2E75B6" w:sz="8"/>
        </w:pBdr>
        <w:spacing w:after="200" w:before="400"/>
      </w:pPr>
      <w:r>
        <w:rPr>
          <w:b/>
          <w:bCs/>
          <w:color w:val="1F4E79"/>
          <w:sz w:val="30"/>
          <w:szCs w:val="30"/>
        </w:rPr>
        <w:t xml:space="preserve">5. Technology Gaps</w:t>
      </w:r>
    </w:p>
    <w:p>
      <w:pPr>
        <w:spacing w:after="80" w:before="80"/>
      </w:pPr>
      <w:r>
        <w:rPr>
          <w:color w:val="1A1A1A"/>
          <w:sz w:val="20"/>
          <w:szCs w:val="20"/>
        </w:rPr>
        <w:t xml:space="preserve">The Technology dimension covers the systems, integrations, data management, and technical capabilities in the current environment.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Gap ID</w:t>
            </w:r>
          </w:p>
        </w:tc>
        <w:tc>
          <w:tcPr>
            <w:shd w:fill="1F4E79" w:color="auto" w:val="clear"/>
            <w:tcMar>
              <w:top w:type="dxa" w:w="80"/>
              <w:left w:type="dxa" w:w="120"/>
              <w:bottom w:type="dxa" w:w="80"/>
              <w:right w:type="dxa" w:w="120"/>
            </w:tcMar>
          </w:tcPr>
          <w:p>
            <w:pPr>
              <w:jc w:val="left"/>
            </w:pPr>
            <w:r>
              <w:rPr>
                <w:b/>
                <w:bCs/>
                <w:color w:val="FFFFFF"/>
                <w:sz w:val="18"/>
                <w:szCs w:val="18"/>
              </w:rPr>
              <w:t xml:space="preserve">Gap Description</w:t>
            </w:r>
          </w:p>
        </w:tc>
        <w:tc>
          <w:tcPr>
            <w:shd w:fill="1F4E79" w:color="auto" w:val="clear"/>
            <w:tcMar>
              <w:top w:type="dxa" w:w="80"/>
              <w:left w:type="dxa" w:w="120"/>
              <w:bottom w:type="dxa" w:w="80"/>
              <w:right w:type="dxa" w:w="120"/>
            </w:tcMar>
          </w:tcPr>
          <w:p>
            <w:pPr>
              <w:jc w:val="left"/>
            </w:pPr>
            <w:r>
              <w:rPr>
                <w:b/>
                <w:bCs/>
                <w:color w:val="FFFFFF"/>
                <w:sz w:val="18"/>
                <w:szCs w:val="18"/>
              </w:rPr>
              <w:t xml:space="preserve">Current State</w:t>
            </w:r>
          </w:p>
        </w:tc>
        <w:tc>
          <w:tcPr>
            <w:shd w:fill="1F4E79" w:color="auto" w:val="clear"/>
            <w:tcMar>
              <w:top w:type="dxa" w:w="80"/>
              <w:left w:type="dxa" w:w="120"/>
              <w:bottom w:type="dxa" w:w="80"/>
              <w:right w:type="dxa" w:w="120"/>
            </w:tcMar>
          </w:tcPr>
          <w:p>
            <w:pPr>
              <w:jc w:val="left"/>
            </w:pPr>
            <w:r>
              <w:rPr>
                <w:b/>
                <w:bCs/>
                <w:color w:val="FFFFFF"/>
                <w:sz w:val="18"/>
                <w:szCs w:val="18"/>
              </w:rPr>
              <w:t xml:space="preserve">Target State</w:t>
            </w:r>
          </w:p>
        </w:tc>
        <w:tc>
          <w:tcPr>
            <w:shd w:fill="1F4E79" w:color="auto" w:val="clear"/>
            <w:tcMar>
              <w:top w:type="dxa" w:w="80"/>
              <w:left w:type="dxa" w:w="120"/>
              <w:bottom w:type="dxa" w:w="80"/>
              <w:right w:type="dxa" w:w="120"/>
            </w:tcMar>
          </w:tcPr>
          <w:p>
            <w:pPr>
              <w:jc w:val="left"/>
            </w:pPr>
            <w:r>
              <w:rPr>
                <w:b/>
                <w:bCs/>
                <w:color w:val="FFFFFF"/>
                <w:sz w:val="18"/>
                <w:szCs w:val="18"/>
              </w:rPr>
              <w:t xml:space="preserve">Severity</w:t>
            </w:r>
          </w:p>
        </w:tc>
        <w:tc>
          <w:tcPr>
            <w:shd w:fill="1F4E79" w:color="auto" w:val="clear"/>
            <w:tcMar>
              <w:top w:type="dxa" w:w="80"/>
              <w:left w:type="dxa" w:w="120"/>
              <w:bottom w:type="dxa" w:w="80"/>
              <w:right w:type="dxa" w:w="120"/>
            </w:tcMar>
          </w:tcPr>
          <w:p>
            <w:pPr>
              <w:jc w:val="left"/>
            </w:pPr>
            <w:r>
              <w:rPr>
                <w:b/>
                <w:bCs/>
                <w:color w:val="FFFFFF"/>
                <w:sz w:val="18"/>
                <w:szCs w:val="18"/>
              </w:rPr>
              <w:t xml:space="preserve">Notes</w:t>
            </w:r>
          </w:p>
        </w:tc>
      </w:tr>
      <w:tr>
        <w:tc>
          <w:tcPr>
            <w:tcMar>
              <w:top w:type="dxa" w:w="60"/>
              <w:left w:type="dxa" w:w="120"/>
              <w:bottom w:type="dxa" w:w="60"/>
              <w:right w:type="dxa" w:w="120"/>
            </w:tcMar>
          </w:tcPr>
          <w:p>
            <w:pPr>
              <w:jc w:val="left"/>
            </w:pPr>
            <w:r>
              <w:rPr>
                <w:b w:val="false"/>
                <w:bCs w:val="false"/>
                <w:color w:val="1A1A1A"/>
                <w:sz w:val="18"/>
                <w:szCs w:val="18"/>
              </w:rPr>
              <w:t xml:space="preserve">T-001</w:t>
            </w:r>
          </w:p>
        </w:tc>
        <w:tc>
          <w:tcPr>
            <w:tcMar>
              <w:top w:type="dxa" w:w="60"/>
              <w:left w:type="dxa" w:w="120"/>
              <w:bottom w:type="dxa" w:w="60"/>
              <w:right w:type="dxa" w:w="120"/>
            </w:tcMar>
          </w:tcPr>
          <w:p>
            <w:pPr>
              <w:jc w:val="left"/>
            </w:pPr>
            <w:r>
              <w:rPr>
                <w:b w:val="false"/>
                <w:bCs w:val="false"/>
                <w:color w:val="1A1A1A"/>
                <w:sz w:val="18"/>
                <w:szCs w:val="18"/>
              </w:rPr>
              <w:t xml:space="preserve">Legacy claims system cannot be extended</w:t>
            </w:r>
          </w:p>
        </w:tc>
        <w:tc>
          <w:tcPr>
            <w:tcMar>
              <w:top w:type="dxa" w:w="60"/>
              <w:left w:type="dxa" w:w="120"/>
              <w:bottom w:type="dxa" w:w="60"/>
              <w:right w:type="dxa" w:w="120"/>
            </w:tcMar>
          </w:tcPr>
          <w:p>
            <w:pPr>
              <w:jc w:val="left"/>
            </w:pPr>
            <w:r>
              <w:rPr>
                <w:b w:val="false"/>
                <w:bCs w:val="false"/>
                <w:color w:val="1A1A1A"/>
                <w:sz w:val="18"/>
                <w:szCs w:val="18"/>
              </w:rPr>
              <w:t xml:space="preserve">The existing claims system is a vendor-hosted legacy product. Vendor confirmed it cannot be configured to add routing, notifications, or reporting without a full upgrade project costing &gt; £500K.</w:t>
            </w:r>
          </w:p>
        </w:tc>
        <w:tc>
          <w:tcPr>
            <w:tcMar>
              <w:top w:type="dxa" w:w="60"/>
              <w:left w:type="dxa" w:w="120"/>
              <w:bottom w:type="dxa" w:w="60"/>
              <w:right w:type="dxa" w:w="120"/>
            </w:tcMar>
          </w:tcPr>
          <w:p>
            <w:pPr>
              <w:jc w:val="left"/>
            </w:pPr>
            <w:r>
              <w:rPr>
                <w:b w:val="false"/>
                <w:bCs w:val="false"/>
                <w:color w:val="1A1A1A"/>
                <w:sz w:val="18"/>
                <w:szCs w:val="18"/>
              </w:rPr>
              <w:t xml:space="preserve">New digital platform replacing legacy system. Legacy system maintained in read-only mode for 6 months post-migration for reference.</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IT Lead confirmed vendor position. This makes replacement — rather than augmentation — the only viable option.</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T-002</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digital claim intake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Claims are submitted on paper only — in person at the office or by post. No email or web submission option exists.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Web-based digital claim form accessible 24/7 from desktop and mobile. Form data submitted directly to the new claims system.</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Core of the transformation. Without digital intake, all downstream improvements are blocked.</w:t>
            </w:r>
          </w:p>
        </w:tc>
      </w:tr>
      <w:tr>
        <w:tc>
          <w:tcPr>
            <w:tcMar>
              <w:top w:type="dxa" w:w="60"/>
              <w:left w:type="dxa" w:w="120"/>
              <w:bottom w:type="dxa" w:w="60"/>
              <w:right w:type="dxa" w:w="120"/>
            </w:tcMar>
          </w:tcPr>
          <w:p>
            <w:pPr>
              <w:jc w:val="left"/>
            </w:pPr>
            <w:r>
              <w:rPr>
                <w:b w:val="false"/>
                <w:bCs w:val="false"/>
                <w:color w:val="1A1A1A"/>
                <w:sz w:val="18"/>
                <w:szCs w:val="18"/>
              </w:rPr>
              <w:t xml:space="preserve">T-003</w:t>
            </w:r>
          </w:p>
        </w:tc>
        <w:tc>
          <w:tcPr>
            <w:tcMar>
              <w:top w:type="dxa" w:w="60"/>
              <w:left w:type="dxa" w:w="120"/>
              <w:bottom w:type="dxa" w:w="60"/>
              <w:right w:type="dxa" w:w="120"/>
            </w:tcMar>
          </w:tcPr>
          <w:p>
            <w:pPr>
              <w:jc w:val="left"/>
            </w:pPr>
            <w:r>
              <w:rPr>
                <w:b w:val="false"/>
                <w:bCs w:val="false"/>
                <w:color w:val="1A1A1A"/>
                <w:sz w:val="18"/>
                <w:szCs w:val="18"/>
              </w:rPr>
              <w:t xml:space="preserve">No system integration with Sage (finance)</w:t>
            </w:r>
          </w:p>
        </w:tc>
        <w:tc>
          <w:tcPr>
            <w:tcMar>
              <w:top w:type="dxa" w:w="60"/>
              <w:left w:type="dxa" w:w="120"/>
              <w:bottom w:type="dxa" w:w="60"/>
              <w:right w:type="dxa" w:w="120"/>
            </w:tcMar>
          </w:tcPr>
          <w:p>
            <w:pPr>
              <w:jc w:val="left"/>
            </w:pPr>
            <w:r>
              <w:rPr>
                <w:b w:val="false"/>
                <w:bCs w:val="false"/>
                <w:color w:val="1A1A1A"/>
                <w:sz w:val="18"/>
                <w:szCs w:val="18"/>
              </w:rPr>
              <w:t xml:space="preserve">Sage is used for all payment processing. There is currently no integration between the claims system and Sage. All payment data is manually re-entered.</w:t>
            </w:r>
          </w:p>
        </w:tc>
        <w:tc>
          <w:tcPr>
            <w:tcMar>
              <w:top w:type="dxa" w:w="60"/>
              <w:left w:type="dxa" w:w="120"/>
              <w:bottom w:type="dxa" w:w="60"/>
              <w:right w:type="dxa" w:w="120"/>
            </w:tcMar>
          </w:tcPr>
          <w:p>
            <w:pPr>
              <w:jc w:val="left"/>
            </w:pPr>
            <w:r>
              <w:rPr>
                <w:b w:val="false"/>
                <w:bCs w:val="false"/>
                <w:color w:val="1A1A1A"/>
                <w:sz w:val="18"/>
                <w:szCs w:val="18"/>
              </w:rPr>
              <w:t xml:space="preserve">Claims system integrates with Sage via API. Approved payments flow automatically from the claims system to Sage payment queue.</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Sage API is available and documented. Integration complexity: medium. ROI: eliminates the largest single manual process.</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T-004</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real-time reporting capability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Management reporting is generated from the legacy system weekly. It shows historical volumes only — no live data, no processing time metrics, no handler workload data.</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Live Tableau dashboard showing: claims volume, average processing time, handler workload, SLA adherence rate, rework rate. Updated in real time.</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Tableau prototype built during this engagement to demonstrate the business case. Dashboard spec already defined.</w:t>
            </w:r>
          </w:p>
        </w:tc>
      </w:tr>
      <w:tr>
        <w:tc>
          <w:tcPr>
            <w:tcMar>
              <w:top w:type="dxa" w:w="60"/>
              <w:left w:type="dxa" w:w="120"/>
              <w:bottom w:type="dxa" w:w="60"/>
              <w:right w:type="dxa" w:w="120"/>
            </w:tcMar>
          </w:tcPr>
          <w:p>
            <w:pPr>
              <w:jc w:val="left"/>
            </w:pPr>
            <w:r>
              <w:rPr>
                <w:b w:val="false"/>
                <w:bCs w:val="false"/>
                <w:color w:val="1A1A1A"/>
                <w:sz w:val="18"/>
                <w:szCs w:val="18"/>
              </w:rPr>
              <w:t xml:space="preserve">T-005</w:t>
            </w:r>
          </w:p>
        </w:tc>
        <w:tc>
          <w:tcPr>
            <w:tcMar>
              <w:top w:type="dxa" w:w="60"/>
              <w:left w:type="dxa" w:w="120"/>
              <w:bottom w:type="dxa" w:w="60"/>
              <w:right w:type="dxa" w:w="120"/>
            </w:tcMar>
          </w:tcPr>
          <w:p>
            <w:pPr>
              <w:jc w:val="left"/>
            </w:pPr>
            <w:r>
              <w:rPr>
                <w:b w:val="false"/>
                <w:bCs w:val="false"/>
                <w:color w:val="1A1A1A"/>
                <w:sz w:val="18"/>
                <w:szCs w:val="18"/>
              </w:rPr>
              <w:t xml:space="preserve">Claimant data stored across 4 unsecured Excel files</w:t>
            </w:r>
          </w:p>
        </w:tc>
        <w:tc>
          <w:tcPr>
            <w:tcMar>
              <w:top w:type="dxa" w:w="60"/>
              <w:left w:type="dxa" w:w="120"/>
              <w:bottom w:type="dxa" w:w="60"/>
              <w:right w:type="dxa" w:w="120"/>
            </w:tcMar>
          </w:tcPr>
          <w:p>
            <w:pPr>
              <w:jc w:val="left"/>
            </w:pPr>
            <w:r>
              <w:rPr>
                <w:b w:val="false"/>
                <w:bCs w:val="false"/>
                <w:color w:val="1A1A1A"/>
                <w:sz w:val="18"/>
                <w:szCs w:val="18"/>
              </w:rPr>
              <w:t xml:space="preserve">Claimant data (names, NI numbers, claim details) is stored in 4 handler-maintained Excel files on local drives. These are not backed up and have no access controls.</w:t>
            </w:r>
          </w:p>
        </w:tc>
        <w:tc>
          <w:tcPr>
            <w:tcMar>
              <w:top w:type="dxa" w:w="60"/>
              <w:left w:type="dxa" w:w="120"/>
              <w:bottom w:type="dxa" w:w="60"/>
              <w:right w:type="dxa" w:w="120"/>
            </w:tcMar>
          </w:tcPr>
          <w:p>
            <w:pPr>
              <w:jc w:val="left"/>
            </w:pPr>
            <w:r>
              <w:rPr>
                <w:b w:val="false"/>
                <w:bCs w:val="false"/>
                <w:color w:val="1A1A1A"/>
                <w:sz w:val="18"/>
                <w:szCs w:val="18"/>
              </w:rPr>
              <w:t xml:space="preserve">All claimant data held only in the new secured claims system. Excel workarounds decommissioned on go-live.</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GDPR risk: Excel files on local drives constitute a personal data security risk. ICO investigation risk if a file is lost or accessed by an unauthorised person.</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T-006</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mobile access for claimants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The paper-based process requires physical presence or post. There is no web or mobile channel for claim submission or status tracking.</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Web platform is mobile-responsive. Claimants can submit claims and check status from any device. Analytics show 60% of InsureRight web traffic is mobile.</w:t>
            </w:r>
          </w:p>
        </w:tc>
        <w:tc>
          <w:tcPr>
            <w:shd w:fill="F5F5F5" w:color="auto" w:val="clear"/>
            <w:tcMar>
              <w:top w:type="dxa" w:w="60"/>
              <w:left w:type="dxa" w:w="120"/>
              <w:bottom w:type="dxa" w:w="60"/>
              <w:right w:type="dxa" w:w="120"/>
            </w:tcMar>
          </w:tcPr>
          <w:p>
            <w:pPr>
              <w:jc w:val="left"/>
            </w:pPr>
            <w:r>
              <w:rPr>
                <w:b/>
                <w:bCs/>
                <w:color w:val="5A5A00"/>
                <w:sz w:val="18"/>
                <w:szCs w:val="18"/>
              </w:rPr>
              <w:t xml:space="preserve">Medium</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Mobile-responsiveness should be built into the digital form requirements from the start — retrofitting it later is expensive.</w:t>
            </w:r>
          </w:p>
        </w:tc>
      </w:tr>
    </w:tbl>
    <w:p>
      <w:pPr>
        <w:spacing w:before="200"/>
      </w:pPr>
    </w:p>
    <w:p>
      <w:pPr>
        <w:spacing w:after="150" w:before="300"/>
      </w:pPr>
      <w:r>
        <w:rPr>
          <w:b/>
          <w:bCs/>
          <w:color w:val="2E75B6"/>
          <w:sz w:val="24"/>
          <w:szCs w:val="24"/>
        </w:rPr>
        <w:t xml:space="preserve">5.1 Technology Recommendations</w:t>
      </w:r>
    </w:p>
    <w:p>
      <w:pPr>
        <w:spacing w:after="60" w:before="60"/>
        <w:ind w:left="360"/>
      </w:pPr>
      <w:r>
        <w:rPr>
          <w:color w:val="1A1A1A"/>
          <w:sz w:val="20"/>
          <w:szCs w:val="20"/>
        </w:rPr>
        <w:t xml:space="preserve">• T-001: Replacement is the only viable path. Augmenting the legacy system would cost more and deliver less than a new platform. This is confirmed by the vendor. Include legacy system decommission planning in the project scope.</w:t>
      </w:r>
    </w:p>
    <w:p>
      <w:pPr>
        <w:spacing w:after="60" w:before="60"/>
        <w:ind w:left="360"/>
      </w:pPr>
      <w:r>
        <w:rPr>
          <w:color w:val="1A1A1A"/>
          <w:sz w:val="20"/>
          <w:szCs w:val="20"/>
        </w:rPr>
        <w:t xml:space="preserve">• T-002: Digital intake (web form) is the first capability to build and go-live with. It can be delivered independently of the full system and generates immediate benefit — even before routing, notifications, and reporting are ready.</w:t>
      </w:r>
    </w:p>
    <w:p>
      <w:pPr>
        <w:spacing w:after="60" w:before="60"/>
        <w:ind w:left="360"/>
      </w:pPr>
      <w:r>
        <w:rPr>
          <w:color w:val="1A1A1A"/>
          <w:sz w:val="20"/>
          <w:szCs w:val="20"/>
        </w:rPr>
        <w:t xml:space="preserve">• T-003: Sage integration scoping should begin in project Week 1. Get the Sage API documentation and have IT Lead assess integration approach before the supplier is contracted. This is the highest-risk technical dependency.</w:t>
      </w:r>
    </w:p>
    <w:p>
      <w:pPr>
        <w:spacing w:after="60" w:before="60"/>
        <w:ind w:left="360"/>
      </w:pPr>
      <w:r>
        <w:rPr>
          <w:color w:val="1A1A1A"/>
          <w:sz w:val="20"/>
          <w:szCs w:val="20"/>
        </w:rPr>
        <w:t xml:space="preserve">• T-004: The Tableau dashboard built for the business case can be used as the prototype specification. Dashboard requirements are already defined — hand to the supplier as part of the scope.</w:t>
      </w:r>
    </w:p>
    <w:p>
      <w:pPr>
        <w:spacing w:after="60" w:before="60"/>
        <w:ind w:left="360"/>
      </w:pPr>
      <w:r>
        <w:rPr>
          <w:color w:val="1A1A1A"/>
          <w:sz w:val="20"/>
          <w:szCs w:val="20"/>
        </w:rPr>
        <w:t xml:space="preserve">• T-005: Decommission of the Excel workarounds must be a formal project milestone, not an afterthought. Include data migration from the Excel files (particularly the pending payments log) as a go-live requirement.</w:t>
      </w:r>
    </w:p>
    <w:p>
      <w:pPr>
        <w:spacing w:after="60" w:before="60"/>
        <w:ind w:left="360"/>
      </w:pPr>
      <w:r>
        <w:rPr>
          <w:color w:val="1A1A1A"/>
          <w:sz w:val="20"/>
          <w:szCs w:val="20"/>
        </w:rPr>
        <w:t xml:space="preserve">• T-006: Include WCAG 2.1 AA accessibility and mobile-responsive design as platform requirements. These are not optional.</w:t>
      </w:r>
    </w:p>
    <w:p>
      <w:r>
        <w:br w:type="page"/>
      </w:r>
    </w:p>
    <w:p>
      <w:pPr>
        <w:pBdr>
          <w:bottom w:val="single" w:color="2E75B6" w:sz="8"/>
        </w:pBdr>
        <w:spacing w:after="200" w:before="400"/>
      </w:pPr>
      <w:r>
        <w:rPr>
          <w:b/>
          <w:bCs/>
          <w:color w:val="1F4E79"/>
          <w:sz w:val="30"/>
          <w:szCs w:val="30"/>
        </w:rPr>
        <w:t xml:space="preserve">6. Consolidated Gap Summary</w:t>
      </w:r>
    </w:p>
    <w:p>
      <w:pPr>
        <w:spacing w:after="80" w:before="80"/>
      </w:pPr>
      <w:r>
        <w:rPr>
          <w:color w:val="1A1A1A"/>
          <w:sz w:val="20"/>
          <w:szCs w:val="20"/>
        </w:rPr>
        <w:t xml:space="preserve">The following table consolidates all 17 identified gaps across the three dimensions, rated by severity and mapped to MoSCoW priority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Gap ID</w:t>
            </w:r>
          </w:p>
        </w:tc>
        <w:tc>
          <w:tcPr>
            <w:shd w:fill="1F4E79" w:color="auto" w:val="clear"/>
            <w:tcMar>
              <w:top w:type="dxa" w:w="80"/>
              <w:left w:type="dxa" w:w="120"/>
              <w:bottom w:type="dxa" w:w="80"/>
              <w:right w:type="dxa" w:w="120"/>
            </w:tcMar>
          </w:tcPr>
          <w:p>
            <w:pPr>
              <w:jc w:val="left"/>
            </w:pPr>
            <w:r>
              <w:rPr>
                <w:b/>
                <w:bCs/>
                <w:color w:val="FFFFFF"/>
                <w:sz w:val="18"/>
                <w:szCs w:val="18"/>
              </w:rPr>
              <w:t xml:space="preserve">Dimension</w:t>
            </w:r>
          </w:p>
        </w:tc>
        <w:tc>
          <w:tcPr>
            <w:shd w:fill="1F4E79" w:color="auto" w:val="clear"/>
            <w:tcMar>
              <w:top w:type="dxa" w:w="80"/>
              <w:left w:type="dxa" w:w="120"/>
              <w:bottom w:type="dxa" w:w="80"/>
              <w:right w:type="dxa" w:w="120"/>
            </w:tcMar>
          </w:tcPr>
          <w:p>
            <w:pPr>
              <w:jc w:val="left"/>
            </w:pPr>
            <w:r>
              <w:rPr>
                <w:b/>
                <w:bCs/>
                <w:color w:val="FFFFFF"/>
                <w:sz w:val="18"/>
                <w:szCs w:val="18"/>
              </w:rPr>
              <w:t xml:space="preserve">Gap Title</w:t>
            </w:r>
          </w:p>
        </w:tc>
        <w:tc>
          <w:tcPr>
            <w:shd w:fill="1F4E79" w:color="auto" w:val="clear"/>
            <w:tcMar>
              <w:top w:type="dxa" w:w="80"/>
              <w:left w:type="dxa" w:w="120"/>
              <w:bottom w:type="dxa" w:w="80"/>
              <w:right w:type="dxa" w:w="120"/>
            </w:tcMar>
          </w:tcPr>
          <w:p>
            <w:pPr>
              <w:jc w:val="left"/>
            </w:pPr>
            <w:r>
              <w:rPr>
                <w:b/>
                <w:bCs/>
                <w:color w:val="FFFFFF"/>
                <w:sz w:val="18"/>
                <w:szCs w:val="18"/>
              </w:rPr>
              <w:t xml:space="preserve">Severity</w:t>
            </w:r>
          </w:p>
        </w:tc>
        <w:tc>
          <w:tcPr>
            <w:shd w:fill="1F4E79" w:color="auto" w:val="clear"/>
            <w:tcMar>
              <w:top w:type="dxa" w:w="80"/>
              <w:left w:type="dxa" w:w="120"/>
              <w:bottom w:type="dxa" w:w="80"/>
              <w:right w:type="dxa" w:w="120"/>
            </w:tcMar>
          </w:tcPr>
          <w:p>
            <w:pPr>
              <w:jc w:val="left"/>
            </w:pPr>
            <w:r>
              <w:rPr>
                <w:b/>
                <w:bCs/>
                <w:color w:val="FFFFFF"/>
                <w:sz w:val="18"/>
                <w:szCs w:val="18"/>
              </w:rPr>
              <w:t xml:space="preserve">Linked Requirement</w:t>
            </w:r>
          </w:p>
        </w:tc>
      </w:tr>
      <w:tr>
        <w:tc>
          <w:tcPr>
            <w:tcMar>
              <w:top w:type="dxa" w:w="60"/>
              <w:left w:type="dxa" w:w="120"/>
              <w:bottom w:type="dxa" w:w="60"/>
              <w:right w:type="dxa" w:w="120"/>
            </w:tcMar>
          </w:tcPr>
          <w:p>
            <w:pPr>
              <w:jc w:val="left"/>
            </w:pPr>
            <w:r>
              <w:rPr>
                <w:b w:val="false"/>
                <w:bCs w:val="false"/>
                <w:color w:val="1A1A1A"/>
                <w:sz w:val="18"/>
                <w:szCs w:val="18"/>
              </w:rPr>
              <w:t xml:space="preserve">P-001</w:t>
            </w:r>
          </w:p>
        </w:tc>
        <w:tc>
          <w:tcPr>
            <w:tcMar>
              <w:top w:type="dxa" w:w="60"/>
              <w:left w:type="dxa" w:w="120"/>
              <w:bottom w:type="dxa" w:w="60"/>
              <w:right w:type="dxa" w:w="120"/>
            </w:tcMar>
          </w:tcPr>
          <w:p>
            <w:pPr>
              <w:jc w:val="left"/>
            </w:pPr>
            <w:r>
              <w:rPr>
                <w:b w:val="false"/>
                <w:bCs w:val="false"/>
                <w:color w:val="1A1A1A"/>
                <w:sz w:val="18"/>
                <w:szCs w:val="18"/>
              </w:rPr>
              <w:t xml:space="preserve">People</w:t>
            </w:r>
          </w:p>
        </w:tc>
        <w:tc>
          <w:tcPr>
            <w:tcMar>
              <w:top w:type="dxa" w:w="60"/>
              <w:left w:type="dxa" w:w="120"/>
              <w:bottom w:type="dxa" w:w="60"/>
              <w:right w:type="dxa" w:w="120"/>
            </w:tcMar>
          </w:tcPr>
          <w:p>
            <w:pPr>
              <w:jc w:val="left"/>
            </w:pPr>
            <w:r>
              <w:rPr>
                <w:b w:val="false"/>
                <w:bCs w:val="false"/>
                <w:color w:val="1A1A1A"/>
                <w:sz w:val="18"/>
                <w:szCs w:val="18"/>
              </w:rPr>
              <w:t xml:space="preserve">No change management capability</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Project governance (not in MoSCoW)</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P-002</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People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Digital skills gap among handlers</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Training plan (not in MoSCoW)</w:t>
            </w:r>
          </w:p>
        </w:tc>
      </w:tr>
      <w:tr>
        <w:tc>
          <w:tcPr>
            <w:tcMar>
              <w:top w:type="dxa" w:w="60"/>
              <w:left w:type="dxa" w:w="120"/>
              <w:bottom w:type="dxa" w:w="60"/>
              <w:right w:type="dxa" w:w="120"/>
            </w:tcMar>
          </w:tcPr>
          <w:p>
            <w:pPr>
              <w:jc w:val="left"/>
            </w:pPr>
            <w:r>
              <w:rPr>
                <w:b w:val="false"/>
                <w:bCs w:val="false"/>
                <w:color w:val="1A1A1A"/>
                <w:sz w:val="18"/>
                <w:szCs w:val="18"/>
              </w:rPr>
              <w:t xml:space="preserve">P-003</w:t>
            </w:r>
          </w:p>
        </w:tc>
        <w:tc>
          <w:tcPr>
            <w:tcMar>
              <w:top w:type="dxa" w:w="60"/>
              <w:left w:type="dxa" w:w="120"/>
              <w:bottom w:type="dxa" w:w="60"/>
              <w:right w:type="dxa" w:w="120"/>
            </w:tcMar>
          </w:tcPr>
          <w:p>
            <w:pPr>
              <w:jc w:val="left"/>
            </w:pPr>
            <w:r>
              <w:rPr>
                <w:b w:val="false"/>
                <w:bCs w:val="false"/>
                <w:color w:val="1A1A1A"/>
                <w:sz w:val="18"/>
                <w:szCs w:val="18"/>
              </w:rPr>
              <w:t xml:space="preserve">People</w:t>
            </w:r>
          </w:p>
        </w:tc>
        <w:tc>
          <w:tcPr>
            <w:tcMar>
              <w:top w:type="dxa" w:w="60"/>
              <w:left w:type="dxa" w:w="120"/>
              <w:bottom w:type="dxa" w:w="60"/>
              <w:right w:type="dxa" w:w="120"/>
            </w:tcMar>
          </w:tcPr>
          <w:p>
            <w:pPr>
              <w:jc w:val="left"/>
            </w:pPr>
            <w:r>
              <w:rPr>
                <w:b w:val="false"/>
                <w:bCs w:val="false"/>
                <w:color w:val="1A1A1A"/>
                <w:sz w:val="18"/>
                <w:szCs w:val="18"/>
              </w:rPr>
              <w:t xml:space="preserve">Staff resistance risk</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Change management plan</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P-004</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People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Supervisor role not defined for new model</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Role design workstream</w:t>
            </w:r>
          </w:p>
        </w:tc>
      </w:tr>
      <w:tr>
        <w:tc>
          <w:tcPr>
            <w:tcMar>
              <w:top w:type="dxa" w:w="60"/>
              <w:left w:type="dxa" w:w="120"/>
              <w:bottom w:type="dxa" w:w="60"/>
              <w:right w:type="dxa" w:w="120"/>
            </w:tcMar>
          </w:tcPr>
          <w:p>
            <w:pPr>
              <w:jc w:val="left"/>
            </w:pPr>
            <w:r>
              <w:rPr>
                <w:b w:val="false"/>
                <w:bCs w:val="false"/>
                <w:color w:val="1A1A1A"/>
                <w:sz w:val="18"/>
                <w:szCs w:val="18"/>
              </w:rPr>
              <w:t xml:space="preserve">P-005</w:t>
            </w:r>
          </w:p>
        </w:tc>
        <w:tc>
          <w:tcPr>
            <w:tcMar>
              <w:top w:type="dxa" w:w="60"/>
              <w:left w:type="dxa" w:w="120"/>
              <w:bottom w:type="dxa" w:w="60"/>
              <w:right w:type="dxa" w:w="120"/>
            </w:tcMar>
          </w:tcPr>
          <w:p>
            <w:pPr>
              <w:jc w:val="left"/>
            </w:pPr>
            <w:r>
              <w:rPr>
                <w:b w:val="false"/>
                <w:bCs w:val="false"/>
                <w:color w:val="1A1A1A"/>
                <w:sz w:val="18"/>
                <w:szCs w:val="18"/>
              </w:rPr>
              <w:t xml:space="preserve">People</w:t>
            </w:r>
          </w:p>
        </w:tc>
        <w:tc>
          <w:tcPr>
            <w:tcMar>
              <w:top w:type="dxa" w:w="60"/>
              <w:left w:type="dxa" w:w="120"/>
              <w:bottom w:type="dxa" w:w="60"/>
              <w:right w:type="dxa" w:w="120"/>
            </w:tcMar>
          </w:tcPr>
          <w:p>
            <w:pPr>
              <w:jc w:val="left"/>
            </w:pPr>
            <w:r>
              <w:rPr>
                <w:b w:val="false"/>
                <w:bCs w:val="false"/>
                <w:color w:val="1A1A1A"/>
                <w:sz w:val="18"/>
                <w:szCs w:val="18"/>
              </w:rPr>
              <w:t xml:space="preserve">No assisted digital for claimants</w:t>
            </w:r>
          </w:p>
        </w:tc>
        <w:tc>
          <w:tcPr>
            <w:tcMar>
              <w:top w:type="dxa" w:w="60"/>
              <w:left w:type="dxa" w:w="120"/>
              <w:bottom w:type="dxa" w:w="60"/>
              <w:right w:type="dxa" w:w="120"/>
            </w:tcMar>
          </w:tcPr>
          <w:p>
            <w:pPr>
              <w:jc w:val="left"/>
            </w:pPr>
            <w:r>
              <w:rPr>
                <w:b/>
                <w:bCs/>
                <w:color w:val="5A5A00"/>
                <w:sz w:val="18"/>
                <w:szCs w:val="18"/>
              </w:rPr>
              <w:t xml:space="preserve">Medium</w:t>
            </w:r>
          </w:p>
        </w:tc>
        <w:tc>
          <w:tcPr>
            <w:tcMar>
              <w:top w:type="dxa" w:w="60"/>
              <w:left w:type="dxa" w:w="120"/>
              <w:bottom w:type="dxa" w:w="60"/>
              <w:right w:type="dxa" w:w="120"/>
            </w:tcMar>
          </w:tcPr>
          <w:p>
            <w:pPr>
              <w:jc w:val="left"/>
            </w:pPr>
            <w:r>
              <w:rPr>
                <w:b w:val="false"/>
                <w:bCs w:val="false"/>
                <w:color w:val="1A1A1A"/>
                <w:sz w:val="18"/>
                <w:szCs w:val="18"/>
              </w:rPr>
              <w:t xml:space="preserve">IR-018 (Should Have)</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PR-001</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Process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Manual routing — 2-day delay</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IR-007 (Must Have)</w:t>
            </w:r>
          </w:p>
        </w:tc>
      </w:tr>
      <w:tr>
        <w:tc>
          <w:tcPr>
            <w:tcMar>
              <w:top w:type="dxa" w:w="60"/>
              <w:left w:type="dxa" w:w="120"/>
              <w:bottom w:type="dxa" w:w="60"/>
              <w:right w:type="dxa" w:w="120"/>
            </w:tcMar>
          </w:tcPr>
          <w:p>
            <w:pPr>
              <w:jc w:val="left"/>
            </w:pPr>
            <w:r>
              <w:rPr>
                <w:b w:val="false"/>
                <w:bCs w:val="false"/>
                <w:color w:val="1A1A1A"/>
                <w:sz w:val="18"/>
                <w:szCs w:val="18"/>
              </w:rPr>
              <w:t xml:space="preserve">PR-002</w:t>
            </w:r>
          </w:p>
        </w:tc>
        <w:tc>
          <w:tcPr>
            <w:tcMar>
              <w:top w:type="dxa" w:w="60"/>
              <w:left w:type="dxa" w:w="120"/>
              <w:bottom w:type="dxa" w:w="60"/>
              <w:right w:type="dxa" w:w="120"/>
            </w:tcMar>
          </w:tcPr>
          <w:p>
            <w:pPr>
              <w:jc w:val="left"/>
            </w:pPr>
            <w:r>
              <w:rPr>
                <w:b w:val="false"/>
                <w:bCs w:val="false"/>
                <w:color w:val="1A1A1A"/>
                <w:sz w:val="18"/>
                <w:szCs w:val="18"/>
              </w:rPr>
              <w:t xml:space="preserve">Process</w:t>
            </w:r>
          </w:p>
        </w:tc>
        <w:tc>
          <w:tcPr>
            <w:tcMar>
              <w:top w:type="dxa" w:w="60"/>
              <w:left w:type="dxa" w:w="120"/>
              <w:bottom w:type="dxa" w:w="60"/>
              <w:right w:type="dxa" w:w="120"/>
            </w:tcMar>
          </w:tcPr>
          <w:p>
            <w:pPr>
              <w:jc w:val="left"/>
            </w:pPr>
            <w:r>
              <w:rPr>
                <w:b w:val="false"/>
                <w:bCs w:val="false"/>
                <w:color w:val="1A1A1A"/>
                <w:sz w:val="18"/>
                <w:szCs w:val="18"/>
              </w:rPr>
              <w:t xml:space="preserve">Paper form errors — 18% rework</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IR-002 (Must Have)</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PR-003</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Process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SLA monitoring</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IR-012 (Must Have)</w:t>
            </w:r>
          </w:p>
        </w:tc>
      </w:tr>
      <w:tr>
        <w:tc>
          <w:tcPr>
            <w:tcMar>
              <w:top w:type="dxa" w:w="60"/>
              <w:left w:type="dxa" w:w="120"/>
              <w:bottom w:type="dxa" w:w="60"/>
              <w:right w:type="dxa" w:w="120"/>
            </w:tcMar>
          </w:tcPr>
          <w:p>
            <w:pPr>
              <w:jc w:val="left"/>
            </w:pPr>
            <w:r>
              <w:rPr>
                <w:b w:val="false"/>
                <w:bCs w:val="false"/>
                <w:color w:val="1A1A1A"/>
                <w:sz w:val="18"/>
                <w:szCs w:val="18"/>
              </w:rPr>
              <w:t xml:space="preserve">PR-004</w:t>
            </w:r>
          </w:p>
        </w:tc>
        <w:tc>
          <w:tcPr>
            <w:tcMar>
              <w:top w:type="dxa" w:w="60"/>
              <w:left w:type="dxa" w:w="120"/>
              <w:bottom w:type="dxa" w:w="60"/>
              <w:right w:type="dxa" w:w="120"/>
            </w:tcMar>
          </w:tcPr>
          <w:p>
            <w:pPr>
              <w:jc w:val="left"/>
            </w:pPr>
            <w:r>
              <w:rPr>
                <w:b w:val="false"/>
                <w:bCs w:val="false"/>
                <w:color w:val="1A1A1A"/>
                <w:sz w:val="18"/>
                <w:szCs w:val="18"/>
              </w:rPr>
              <w:t xml:space="preserve">Process</w:t>
            </w:r>
          </w:p>
        </w:tc>
        <w:tc>
          <w:tcPr>
            <w:tcMar>
              <w:top w:type="dxa" w:w="60"/>
              <w:left w:type="dxa" w:w="120"/>
              <w:bottom w:type="dxa" w:w="60"/>
              <w:right w:type="dxa" w:w="120"/>
            </w:tcMar>
          </w:tcPr>
          <w:p>
            <w:pPr>
              <w:jc w:val="left"/>
            </w:pPr>
            <w:r>
              <w:rPr>
                <w:b w:val="false"/>
                <w:bCs w:val="false"/>
                <w:color w:val="1A1A1A"/>
                <w:sz w:val="18"/>
                <w:szCs w:val="18"/>
              </w:rPr>
              <w:t xml:space="preserve">No customer communication</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IR-006 (Must Have)</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PR-005</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Process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Manual finance payment re-entry</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IR-009 (Must Have)</w:t>
            </w:r>
          </w:p>
        </w:tc>
      </w:tr>
      <w:tr>
        <w:tc>
          <w:tcPr>
            <w:tcMar>
              <w:top w:type="dxa" w:w="60"/>
              <w:left w:type="dxa" w:w="120"/>
              <w:bottom w:type="dxa" w:w="60"/>
              <w:right w:type="dxa" w:w="120"/>
            </w:tcMar>
          </w:tcPr>
          <w:p>
            <w:pPr>
              <w:jc w:val="left"/>
            </w:pPr>
            <w:r>
              <w:rPr>
                <w:b w:val="false"/>
                <w:bCs w:val="false"/>
                <w:color w:val="1A1A1A"/>
                <w:sz w:val="18"/>
                <w:szCs w:val="18"/>
              </w:rPr>
              <w:t xml:space="preserve">PR-006</w:t>
            </w:r>
          </w:p>
        </w:tc>
        <w:tc>
          <w:tcPr>
            <w:tcMar>
              <w:top w:type="dxa" w:w="60"/>
              <w:left w:type="dxa" w:w="120"/>
              <w:bottom w:type="dxa" w:w="60"/>
              <w:right w:type="dxa" w:w="120"/>
            </w:tcMar>
          </w:tcPr>
          <w:p>
            <w:pPr>
              <w:jc w:val="left"/>
            </w:pPr>
            <w:r>
              <w:rPr>
                <w:b w:val="false"/>
                <w:bCs w:val="false"/>
                <w:color w:val="1A1A1A"/>
                <w:sz w:val="18"/>
                <w:szCs w:val="18"/>
              </w:rPr>
              <w:t xml:space="preserve">Process</w:t>
            </w:r>
          </w:p>
        </w:tc>
        <w:tc>
          <w:tcPr>
            <w:tcMar>
              <w:top w:type="dxa" w:w="60"/>
              <w:left w:type="dxa" w:w="120"/>
              <w:bottom w:type="dxa" w:w="60"/>
              <w:right w:type="dxa" w:w="120"/>
            </w:tcMar>
          </w:tcPr>
          <w:p>
            <w:pPr>
              <w:jc w:val="left"/>
            </w:pPr>
            <w:r>
              <w:rPr>
                <w:b w:val="false"/>
                <w:bCs w:val="false"/>
                <w:color w:val="1A1A1A"/>
                <w:sz w:val="18"/>
                <w:szCs w:val="18"/>
              </w:rPr>
              <w:t xml:space="preserve">No escalation criteria defined</w:t>
            </w:r>
          </w:p>
        </w:tc>
        <w:tc>
          <w:tcPr>
            <w:tcMar>
              <w:top w:type="dxa" w:w="60"/>
              <w:left w:type="dxa" w:w="120"/>
              <w:bottom w:type="dxa" w:w="60"/>
              <w:right w:type="dxa" w:w="120"/>
            </w:tcMar>
          </w:tcPr>
          <w:p>
            <w:pPr>
              <w:jc w:val="left"/>
            </w:pPr>
            <w:r>
              <w:rPr>
                <w:b/>
                <w:bCs/>
                <w:color w:val="5A5A00"/>
                <w:sz w:val="18"/>
                <w:szCs w:val="18"/>
              </w:rPr>
              <w:t xml:space="preserve">Medium</w:t>
            </w:r>
          </w:p>
        </w:tc>
        <w:tc>
          <w:tcPr>
            <w:tcMar>
              <w:top w:type="dxa" w:w="60"/>
              <w:left w:type="dxa" w:w="120"/>
              <w:bottom w:type="dxa" w:w="60"/>
              <w:right w:type="dxa" w:w="120"/>
            </w:tcMar>
          </w:tcPr>
          <w:p>
            <w:pPr>
              <w:jc w:val="left"/>
            </w:pPr>
            <w:r>
              <w:rPr>
                <w:b w:val="false"/>
                <w:bCs w:val="false"/>
                <w:color w:val="1A1A1A"/>
                <w:sz w:val="18"/>
                <w:szCs w:val="18"/>
              </w:rPr>
              <w:t xml:space="preserve">IR-010 (Must Have — approval workflow)</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T-001</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Technology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Legacy system cannot be extended</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Platform replacement (all Must Have reqs)</w:t>
            </w:r>
          </w:p>
        </w:tc>
      </w:tr>
      <w:tr>
        <w:tc>
          <w:tcPr>
            <w:tcMar>
              <w:top w:type="dxa" w:w="60"/>
              <w:left w:type="dxa" w:w="120"/>
              <w:bottom w:type="dxa" w:w="60"/>
              <w:right w:type="dxa" w:w="120"/>
            </w:tcMar>
          </w:tcPr>
          <w:p>
            <w:pPr>
              <w:jc w:val="left"/>
            </w:pPr>
            <w:r>
              <w:rPr>
                <w:b w:val="false"/>
                <w:bCs w:val="false"/>
                <w:color w:val="1A1A1A"/>
                <w:sz w:val="18"/>
                <w:szCs w:val="18"/>
              </w:rPr>
              <w:t xml:space="preserve">T-002</w:t>
            </w:r>
          </w:p>
        </w:tc>
        <w:tc>
          <w:tcPr>
            <w:tcMar>
              <w:top w:type="dxa" w:w="60"/>
              <w:left w:type="dxa" w:w="120"/>
              <w:bottom w:type="dxa" w:w="60"/>
              <w:right w:type="dxa" w:w="120"/>
            </w:tcMar>
          </w:tcPr>
          <w:p>
            <w:pPr>
              <w:jc w:val="left"/>
            </w:pPr>
            <w:r>
              <w:rPr>
                <w:b w:val="false"/>
                <w:bCs w:val="false"/>
                <w:color w:val="1A1A1A"/>
                <w:sz w:val="18"/>
                <w:szCs w:val="18"/>
              </w:rPr>
              <w:t xml:space="preserve">Technology</w:t>
            </w:r>
          </w:p>
        </w:tc>
        <w:tc>
          <w:tcPr>
            <w:tcMar>
              <w:top w:type="dxa" w:w="60"/>
              <w:left w:type="dxa" w:w="120"/>
              <w:bottom w:type="dxa" w:w="60"/>
              <w:right w:type="dxa" w:w="120"/>
            </w:tcMar>
          </w:tcPr>
          <w:p>
            <w:pPr>
              <w:jc w:val="left"/>
            </w:pPr>
            <w:r>
              <w:rPr>
                <w:b w:val="false"/>
                <w:bCs w:val="false"/>
                <w:color w:val="1A1A1A"/>
                <w:sz w:val="18"/>
                <w:szCs w:val="18"/>
              </w:rPr>
              <w:t xml:space="preserve">No digital claim intake</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tcMar>
              <w:top w:type="dxa" w:w="60"/>
              <w:left w:type="dxa" w:w="120"/>
              <w:bottom w:type="dxa" w:w="60"/>
              <w:right w:type="dxa" w:w="120"/>
            </w:tcMar>
          </w:tcPr>
          <w:p>
            <w:pPr>
              <w:jc w:val="left"/>
            </w:pPr>
            <w:r>
              <w:rPr>
                <w:b w:val="false"/>
                <w:bCs w:val="false"/>
                <w:color w:val="1A1A1A"/>
                <w:sz w:val="18"/>
                <w:szCs w:val="18"/>
              </w:rPr>
              <w:t xml:space="preserve">IR-001 (Must Have)</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T-003</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Technology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 Sage integration</w:t>
            </w:r>
          </w:p>
        </w:tc>
        <w:tc>
          <w:tcPr>
            <w:shd w:fill="FDECEA" w:color="auto" w:val="clear"/>
            <w:tcMar>
              <w:top w:type="dxa" w:w="60"/>
              <w:left w:type="dxa" w:w="120"/>
              <w:bottom w:type="dxa" w:w="60"/>
              <w:right w:type="dxa" w:w="120"/>
            </w:tcMar>
          </w:tcPr>
          <w:p>
            <w:pPr>
              <w:jc w:val="left"/>
            </w:pPr>
            <w:r>
              <w:rPr>
                <w:b/>
                <w:bCs/>
                <w:color w:val="7B1A1A"/>
                <w:sz w:val="18"/>
                <w:szCs w:val="18"/>
              </w:rPr>
              <w:t xml:space="preserve">Critical</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IR-009 (Must Have)</w:t>
            </w:r>
          </w:p>
        </w:tc>
      </w:tr>
      <w:tr>
        <w:tc>
          <w:tcPr>
            <w:tcMar>
              <w:top w:type="dxa" w:w="60"/>
              <w:left w:type="dxa" w:w="120"/>
              <w:bottom w:type="dxa" w:w="60"/>
              <w:right w:type="dxa" w:w="120"/>
            </w:tcMar>
          </w:tcPr>
          <w:p>
            <w:pPr>
              <w:jc w:val="left"/>
            </w:pPr>
            <w:r>
              <w:rPr>
                <w:b w:val="false"/>
                <w:bCs w:val="false"/>
                <w:color w:val="1A1A1A"/>
                <w:sz w:val="18"/>
                <w:szCs w:val="18"/>
              </w:rPr>
              <w:t xml:space="preserve">T-004</w:t>
            </w:r>
          </w:p>
        </w:tc>
        <w:tc>
          <w:tcPr>
            <w:tcMar>
              <w:top w:type="dxa" w:w="60"/>
              <w:left w:type="dxa" w:w="120"/>
              <w:bottom w:type="dxa" w:w="60"/>
              <w:right w:type="dxa" w:w="120"/>
            </w:tcMar>
          </w:tcPr>
          <w:p>
            <w:pPr>
              <w:jc w:val="left"/>
            </w:pPr>
            <w:r>
              <w:rPr>
                <w:b w:val="false"/>
                <w:bCs w:val="false"/>
                <w:color w:val="1A1A1A"/>
                <w:sz w:val="18"/>
                <w:szCs w:val="18"/>
              </w:rPr>
              <w:t xml:space="preserve">Technology</w:t>
            </w:r>
          </w:p>
        </w:tc>
        <w:tc>
          <w:tcPr>
            <w:tcMar>
              <w:top w:type="dxa" w:w="60"/>
              <w:left w:type="dxa" w:w="120"/>
              <w:bottom w:type="dxa" w:w="60"/>
              <w:right w:type="dxa" w:w="120"/>
            </w:tcMar>
          </w:tcPr>
          <w:p>
            <w:pPr>
              <w:jc w:val="left"/>
            </w:pPr>
            <w:r>
              <w:rPr>
                <w:b w:val="false"/>
                <w:bCs w:val="false"/>
                <w:color w:val="1A1A1A"/>
                <w:sz w:val="18"/>
                <w:szCs w:val="18"/>
              </w:rPr>
              <w:t xml:space="preserve">No real-time reporting</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tcMar>
              <w:top w:type="dxa" w:w="60"/>
              <w:left w:type="dxa" w:w="120"/>
              <w:bottom w:type="dxa" w:w="60"/>
              <w:right w:type="dxa" w:w="120"/>
            </w:tcMar>
          </w:tcPr>
          <w:p>
            <w:pPr>
              <w:jc w:val="left"/>
            </w:pPr>
            <w:r>
              <w:rPr>
                <w:b w:val="false"/>
                <w:bCs w:val="false"/>
                <w:color w:val="1A1A1A"/>
                <w:sz w:val="18"/>
                <w:szCs w:val="18"/>
              </w:rPr>
              <w:t xml:space="preserve">IR-011, IR-012 (Must Have)</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T-005</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Technology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GDPR risk — data in Excel files</w:t>
            </w:r>
          </w:p>
        </w:tc>
        <w:tc>
          <w:tcPr>
            <w:shd w:fill="FFF3CD" w:color="auto" w:val="clear"/>
            <w:tcMar>
              <w:top w:type="dxa" w:w="60"/>
              <w:left w:type="dxa" w:w="120"/>
              <w:bottom w:type="dxa" w:w="60"/>
              <w:right w:type="dxa" w:w="120"/>
            </w:tcMar>
          </w:tcPr>
          <w:p>
            <w:pPr>
              <w:jc w:val="left"/>
            </w:pPr>
            <w:r>
              <w:rPr>
                <w:b/>
                <w:bCs/>
                <w:color w:val="7D4E00"/>
                <w:sz w:val="18"/>
                <w:szCs w:val="18"/>
              </w:rPr>
              <w:t xml:space="preserve">High</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IR-007, IR-008 (Must Have — data in system)</w:t>
            </w:r>
          </w:p>
        </w:tc>
      </w:tr>
      <w:tr>
        <w:tc>
          <w:tcPr>
            <w:tcMar>
              <w:top w:type="dxa" w:w="60"/>
              <w:left w:type="dxa" w:w="120"/>
              <w:bottom w:type="dxa" w:w="60"/>
              <w:right w:type="dxa" w:w="120"/>
            </w:tcMar>
          </w:tcPr>
          <w:p>
            <w:pPr>
              <w:jc w:val="left"/>
            </w:pPr>
            <w:r>
              <w:rPr>
                <w:b w:val="false"/>
                <w:bCs w:val="false"/>
                <w:color w:val="1A1A1A"/>
                <w:sz w:val="18"/>
                <w:szCs w:val="18"/>
              </w:rPr>
              <w:t xml:space="preserve">T-006</w:t>
            </w:r>
          </w:p>
        </w:tc>
        <w:tc>
          <w:tcPr>
            <w:tcMar>
              <w:top w:type="dxa" w:w="60"/>
              <w:left w:type="dxa" w:w="120"/>
              <w:bottom w:type="dxa" w:w="60"/>
              <w:right w:type="dxa" w:w="120"/>
            </w:tcMar>
          </w:tcPr>
          <w:p>
            <w:pPr>
              <w:jc w:val="left"/>
            </w:pPr>
            <w:r>
              <w:rPr>
                <w:b w:val="false"/>
                <w:bCs w:val="false"/>
                <w:color w:val="1A1A1A"/>
                <w:sz w:val="18"/>
                <w:szCs w:val="18"/>
              </w:rPr>
              <w:t xml:space="preserve">Technology</w:t>
            </w:r>
          </w:p>
        </w:tc>
        <w:tc>
          <w:tcPr>
            <w:tcMar>
              <w:top w:type="dxa" w:w="60"/>
              <w:left w:type="dxa" w:w="120"/>
              <w:bottom w:type="dxa" w:w="60"/>
              <w:right w:type="dxa" w:w="120"/>
            </w:tcMar>
          </w:tcPr>
          <w:p>
            <w:pPr>
              <w:jc w:val="left"/>
            </w:pPr>
            <w:r>
              <w:rPr>
                <w:b w:val="false"/>
                <w:bCs w:val="false"/>
                <w:color w:val="1A1A1A"/>
                <w:sz w:val="18"/>
                <w:szCs w:val="18"/>
              </w:rPr>
              <w:t xml:space="preserve">No mobile access for claimants</w:t>
            </w:r>
          </w:p>
        </w:tc>
        <w:tc>
          <w:tcPr>
            <w:tcMar>
              <w:top w:type="dxa" w:w="60"/>
              <w:left w:type="dxa" w:w="120"/>
              <w:bottom w:type="dxa" w:w="60"/>
              <w:right w:type="dxa" w:w="120"/>
            </w:tcMar>
          </w:tcPr>
          <w:p>
            <w:pPr>
              <w:jc w:val="left"/>
            </w:pPr>
            <w:r>
              <w:rPr>
                <w:b/>
                <w:bCs/>
                <w:color w:val="5A5A00"/>
                <w:sz w:val="18"/>
                <w:szCs w:val="18"/>
              </w:rPr>
              <w:t xml:space="preserve">Medium</w:t>
            </w:r>
          </w:p>
        </w:tc>
        <w:tc>
          <w:tcPr>
            <w:tcMar>
              <w:top w:type="dxa" w:w="60"/>
              <w:left w:type="dxa" w:w="120"/>
              <w:bottom w:type="dxa" w:w="60"/>
              <w:right w:type="dxa" w:w="120"/>
            </w:tcMar>
          </w:tcPr>
          <w:p>
            <w:pPr>
              <w:jc w:val="left"/>
            </w:pPr>
            <w:r>
              <w:rPr>
                <w:b w:val="false"/>
                <w:bCs w:val="false"/>
                <w:color w:val="1A1A1A"/>
                <w:sz w:val="18"/>
                <w:szCs w:val="18"/>
              </w:rPr>
              <w:t xml:space="preserve">IR-018 (Should Have)</w:t>
            </w:r>
          </w:p>
        </w:tc>
      </w:tr>
    </w:tbl>
    <w:p>
      <w:r>
        <w:br w:type="page"/>
      </w:r>
    </w:p>
    <w:p>
      <w:pPr>
        <w:pBdr>
          <w:bottom w:val="single" w:color="2E75B6" w:sz="8"/>
        </w:pBdr>
        <w:spacing w:after="200" w:before="400"/>
      </w:pPr>
      <w:r>
        <w:rPr>
          <w:b/>
          <w:bCs/>
          <w:color w:val="1F4E79"/>
          <w:sz w:val="30"/>
          <w:szCs w:val="30"/>
        </w:rPr>
        <w:t xml:space="preserve">7. Benefits Realisation Plan</w:t>
      </w:r>
    </w:p>
    <w:p>
      <w:pPr>
        <w:spacing w:after="80" w:before="80"/>
      </w:pPr>
      <w:r>
        <w:rPr>
          <w:color w:val="1A1A1A"/>
          <w:sz w:val="20"/>
          <w:szCs w:val="20"/>
        </w:rPr>
        <w:t xml:space="preserve">The following KPIs will be used to measure whether the transformation has closed the identified gaps. Each KPI has a baseline, a 6-month target, and a named owner. Performance against these KPIs will be reported to the Board at 3-month and 6-month post-go-live reviews.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KPI</w:t>
            </w:r>
          </w:p>
        </w:tc>
        <w:tc>
          <w:tcPr>
            <w:shd w:fill="1F4E79" w:color="auto" w:val="clear"/>
            <w:tcMar>
              <w:top w:type="dxa" w:w="80"/>
              <w:left w:type="dxa" w:w="120"/>
              <w:bottom w:type="dxa" w:w="80"/>
              <w:right w:type="dxa" w:w="120"/>
            </w:tcMar>
          </w:tcPr>
          <w:p>
            <w:pPr>
              <w:jc w:val="left"/>
            </w:pPr>
            <w:r>
              <w:rPr>
                <w:b/>
                <w:bCs/>
                <w:color w:val="FFFFFF"/>
                <w:sz w:val="18"/>
                <w:szCs w:val="18"/>
              </w:rPr>
              <w:t xml:space="preserve">Gap Addressed</w:t>
            </w:r>
          </w:p>
        </w:tc>
        <w:tc>
          <w:tcPr>
            <w:shd w:fill="1F4E79" w:color="auto" w:val="clear"/>
            <w:tcMar>
              <w:top w:type="dxa" w:w="80"/>
              <w:left w:type="dxa" w:w="120"/>
              <w:bottom w:type="dxa" w:w="80"/>
              <w:right w:type="dxa" w:w="120"/>
            </w:tcMar>
          </w:tcPr>
          <w:p>
            <w:pPr>
              <w:jc w:val="left"/>
            </w:pPr>
            <w:r>
              <w:rPr>
                <w:b/>
                <w:bCs/>
                <w:color w:val="FFFFFF"/>
                <w:sz w:val="18"/>
                <w:szCs w:val="18"/>
              </w:rPr>
              <w:t xml:space="preserve">Baseline</w:t>
            </w:r>
          </w:p>
        </w:tc>
        <w:tc>
          <w:tcPr>
            <w:shd w:fill="1F4E79" w:color="auto" w:val="clear"/>
            <w:tcMar>
              <w:top w:type="dxa" w:w="80"/>
              <w:left w:type="dxa" w:w="120"/>
              <w:bottom w:type="dxa" w:w="80"/>
              <w:right w:type="dxa" w:w="120"/>
            </w:tcMar>
          </w:tcPr>
          <w:p>
            <w:pPr>
              <w:jc w:val="left"/>
            </w:pPr>
            <w:r>
              <w:rPr>
                <w:b/>
                <w:bCs/>
                <w:color w:val="FFFFFF"/>
                <w:sz w:val="18"/>
                <w:szCs w:val="18"/>
              </w:rPr>
              <w:t xml:space="preserve">3-Month Target</w:t>
            </w:r>
          </w:p>
        </w:tc>
        <w:tc>
          <w:tcPr>
            <w:shd w:fill="1F4E79" w:color="auto" w:val="clear"/>
            <w:tcMar>
              <w:top w:type="dxa" w:w="80"/>
              <w:left w:type="dxa" w:w="120"/>
              <w:bottom w:type="dxa" w:w="80"/>
              <w:right w:type="dxa" w:w="120"/>
            </w:tcMar>
          </w:tcPr>
          <w:p>
            <w:pPr>
              <w:jc w:val="left"/>
            </w:pPr>
            <w:r>
              <w:rPr>
                <w:b/>
                <w:bCs/>
                <w:color w:val="FFFFFF"/>
                <w:sz w:val="18"/>
                <w:szCs w:val="18"/>
              </w:rPr>
              <w:t xml:space="preserve">6-Month Target</w:t>
            </w:r>
          </w:p>
        </w:tc>
        <w:tc>
          <w:tcPr>
            <w:shd w:fill="1F4E79" w:color="auto" w:val="clear"/>
            <w:tcMar>
              <w:top w:type="dxa" w:w="80"/>
              <w:left w:type="dxa" w:w="120"/>
              <w:bottom w:type="dxa" w:w="80"/>
              <w:right w:type="dxa" w:w="120"/>
            </w:tcMar>
          </w:tcPr>
          <w:p>
            <w:pPr>
              <w:jc w:val="left"/>
            </w:pPr>
            <w:r>
              <w:rPr>
                <w:b/>
                <w:bCs/>
                <w:color w:val="FFFFFF"/>
                <w:sz w:val="18"/>
                <w:szCs w:val="18"/>
              </w:rPr>
              <w:t xml:space="preserve">Measurement Source</w:t>
            </w:r>
          </w:p>
        </w:tc>
        <w:tc>
          <w:tcPr>
            <w:shd w:fill="1F4E79" w:color="auto" w:val="clear"/>
            <w:tcMar>
              <w:top w:type="dxa" w:w="80"/>
              <w:left w:type="dxa" w:w="120"/>
              <w:bottom w:type="dxa" w:w="80"/>
              <w:right w:type="dxa" w:w="120"/>
            </w:tcMar>
          </w:tcPr>
          <w:p>
            <w:pPr>
              <w:jc w:val="left"/>
            </w:pPr>
            <w:r>
              <w:rPr>
                <w:b/>
                <w:bCs/>
                <w:color w:val="FFFFFF"/>
                <w:sz w:val="18"/>
                <w:szCs w:val="18"/>
              </w:rPr>
              <w:t xml:space="preserve">Owner</w:t>
            </w:r>
          </w:p>
        </w:tc>
      </w:tr>
      <w:tr>
        <w:tc>
          <w:tcPr>
            <w:tcMar>
              <w:top w:type="dxa" w:w="60"/>
              <w:left w:type="dxa" w:w="120"/>
              <w:bottom w:type="dxa" w:w="60"/>
              <w:right w:type="dxa" w:w="120"/>
            </w:tcMar>
          </w:tcPr>
          <w:p>
            <w:pPr>
              <w:jc w:val="left"/>
            </w:pPr>
            <w:r>
              <w:rPr>
                <w:b w:val="false"/>
                <w:bCs w:val="false"/>
                <w:color w:val="1A1A1A"/>
                <w:sz w:val="18"/>
                <w:szCs w:val="18"/>
              </w:rPr>
              <w:t xml:space="preserve">Average claim processing time</w:t>
            </w:r>
          </w:p>
        </w:tc>
        <w:tc>
          <w:tcPr>
            <w:tcMar>
              <w:top w:type="dxa" w:w="60"/>
              <w:left w:type="dxa" w:w="120"/>
              <w:bottom w:type="dxa" w:w="60"/>
              <w:right w:type="dxa" w:w="120"/>
            </w:tcMar>
          </w:tcPr>
          <w:p>
            <w:pPr>
              <w:jc w:val="left"/>
            </w:pPr>
            <w:r>
              <w:rPr>
                <w:b w:val="false"/>
                <w:bCs w:val="false"/>
                <w:color w:val="1A1A1A"/>
                <w:sz w:val="18"/>
                <w:szCs w:val="18"/>
              </w:rPr>
              <w:t xml:space="preserve">PR-001, PR-002, T-001</w:t>
            </w:r>
          </w:p>
        </w:tc>
        <w:tc>
          <w:tcPr>
            <w:tcMar>
              <w:top w:type="dxa" w:w="60"/>
              <w:left w:type="dxa" w:w="120"/>
              <w:bottom w:type="dxa" w:w="60"/>
              <w:right w:type="dxa" w:w="120"/>
            </w:tcMar>
          </w:tcPr>
          <w:p>
            <w:pPr>
              <w:jc w:val="left"/>
            </w:pPr>
            <w:r>
              <w:rPr>
                <w:b w:val="false"/>
                <w:bCs w:val="false"/>
                <w:color w:val="1A1A1A"/>
                <w:sz w:val="18"/>
                <w:szCs w:val="18"/>
              </w:rPr>
              <w:t xml:space="preserve">14 days</w:t>
            </w:r>
          </w:p>
        </w:tc>
        <w:tc>
          <w:tcPr>
            <w:tcMar>
              <w:top w:type="dxa" w:w="60"/>
              <w:left w:type="dxa" w:w="120"/>
              <w:bottom w:type="dxa" w:w="60"/>
              <w:right w:type="dxa" w:w="120"/>
            </w:tcMar>
          </w:tcPr>
          <w:p>
            <w:pPr>
              <w:jc w:val="left"/>
            </w:pPr>
            <w:r>
              <w:rPr>
                <w:b w:val="false"/>
                <w:bCs w:val="false"/>
                <w:color w:val="1A1A1A"/>
                <w:sz w:val="18"/>
                <w:szCs w:val="18"/>
              </w:rPr>
              <w:t xml:space="preserve">≤ 8 days</w:t>
            </w:r>
          </w:p>
        </w:tc>
        <w:tc>
          <w:tcPr>
            <w:tcMar>
              <w:top w:type="dxa" w:w="60"/>
              <w:left w:type="dxa" w:w="120"/>
              <w:bottom w:type="dxa" w:w="60"/>
              <w:right w:type="dxa" w:w="120"/>
            </w:tcMar>
          </w:tcPr>
          <w:p>
            <w:pPr>
              <w:jc w:val="left"/>
            </w:pPr>
            <w:r>
              <w:rPr>
                <w:b w:val="false"/>
                <w:bCs w:val="false"/>
                <w:color w:val="1A1A1A"/>
                <w:sz w:val="18"/>
                <w:szCs w:val="18"/>
              </w:rPr>
              <w:t xml:space="preserve">≤ 5 days</w:t>
            </w:r>
          </w:p>
        </w:tc>
        <w:tc>
          <w:tcPr>
            <w:tcMar>
              <w:top w:type="dxa" w:w="60"/>
              <w:left w:type="dxa" w:w="120"/>
              <w:bottom w:type="dxa" w:w="60"/>
              <w:right w:type="dxa" w:w="120"/>
            </w:tcMar>
          </w:tcPr>
          <w:p>
            <w:pPr>
              <w:jc w:val="left"/>
            </w:pPr>
            <w:r>
              <w:rPr>
                <w:b w:val="false"/>
                <w:bCs w:val="false"/>
                <w:color w:val="1A1A1A"/>
                <w:sz w:val="18"/>
                <w:szCs w:val="18"/>
              </w:rPr>
              <w:t xml:space="preserve">Claims system dashboard</w:t>
            </w:r>
          </w:p>
        </w:tc>
        <w:tc>
          <w:tcPr>
            <w:tcMar>
              <w:top w:type="dxa" w:w="60"/>
              <w:left w:type="dxa" w:w="120"/>
              <w:bottom w:type="dxa" w:w="60"/>
              <w:right w:type="dxa" w:w="120"/>
            </w:tcMar>
          </w:tcPr>
          <w:p>
            <w:pPr>
              <w:jc w:val="left"/>
            </w:pPr>
            <w:r>
              <w:rPr>
                <w:b w:val="false"/>
                <w:bCs w:val="false"/>
                <w:color w:val="1A1A1A"/>
                <w:sz w:val="18"/>
                <w:szCs w:val="18"/>
              </w:rPr>
              <w:t xml:space="preserve">Operations Director</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Staff time on data re-entry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PR-005, T-003</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40%</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 20%</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 10%</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Quarterly time study</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Claims Manager</w:t>
            </w:r>
          </w:p>
        </w:tc>
      </w:tr>
      <w:tr>
        <w:tc>
          <w:tcPr>
            <w:tcMar>
              <w:top w:type="dxa" w:w="60"/>
              <w:left w:type="dxa" w:w="120"/>
              <w:bottom w:type="dxa" w:w="60"/>
              <w:right w:type="dxa" w:w="120"/>
            </w:tcMar>
          </w:tcPr>
          <w:p>
            <w:pPr>
              <w:jc w:val="left"/>
            </w:pPr>
            <w:r>
              <w:rPr>
                <w:b w:val="false"/>
                <w:bCs w:val="false"/>
                <w:color w:val="1A1A1A"/>
                <w:sz w:val="18"/>
                <w:szCs w:val="18"/>
              </w:rPr>
              <w:t xml:space="preserve">Claim rework rate</w:t>
            </w:r>
          </w:p>
        </w:tc>
        <w:tc>
          <w:tcPr>
            <w:tcMar>
              <w:top w:type="dxa" w:w="60"/>
              <w:left w:type="dxa" w:w="120"/>
              <w:bottom w:type="dxa" w:w="60"/>
              <w:right w:type="dxa" w:w="120"/>
            </w:tcMar>
          </w:tcPr>
          <w:p>
            <w:pPr>
              <w:jc w:val="left"/>
            </w:pPr>
            <w:r>
              <w:rPr>
                <w:b w:val="false"/>
                <w:bCs w:val="false"/>
                <w:color w:val="1A1A1A"/>
                <w:sz w:val="18"/>
                <w:szCs w:val="18"/>
              </w:rPr>
              <w:t xml:space="preserve">PR-002</w:t>
            </w:r>
          </w:p>
        </w:tc>
        <w:tc>
          <w:tcPr>
            <w:tcMar>
              <w:top w:type="dxa" w:w="60"/>
              <w:left w:type="dxa" w:w="120"/>
              <w:bottom w:type="dxa" w:w="60"/>
              <w:right w:type="dxa" w:w="120"/>
            </w:tcMar>
          </w:tcPr>
          <w:p>
            <w:pPr>
              <w:jc w:val="left"/>
            </w:pPr>
            <w:r>
              <w:rPr>
                <w:b w:val="false"/>
                <w:bCs w:val="false"/>
                <w:color w:val="1A1A1A"/>
                <w:sz w:val="18"/>
                <w:szCs w:val="18"/>
              </w:rPr>
              <w:t xml:space="preserve">18%</w:t>
            </w:r>
          </w:p>
        </w:tc>
        <w:tc>
          <w:tcPr>
            <w:tcMar>
              <w:top w:type="dxa" w:w="60"/>
              <w:left w:type="dxa" w:w="120"/>
              <w:bottom w:type="dxa" w:w="60"/>
              <w:right w:type="dxa" w:w="120"/>
            </w:tcMar>
          </w:tcPr>
          <w:p>
            <w:pPr>
              <w:jc w:val="left"/>
            </w:pPr>
            <w:r>
              <w:rPr>
                <w:b w:val="false"/>
                <w:bCs w:val="false"/>
                <w:color w:val="1A1A1A"/>
                <w:sz w:val="18"/>
                <w:szCs w:val="18"/>
              </w:rPr>
              <w:t xml:space="preserve">≤ 10%</w:t>
            </w:r>
          </w:p>
        </w:tc>
        <w:tc>
          <w:tcPr>
            <w:tcMar>
              <w:top w:type="dxa" w:w="60"/>
              <w:left w:type="dxa" w:w="120"/>
              <w:bottom w:type="dxa" w:w="60"/>
              <w:right w:type="dxa" w:w="120"/>
            </w:tcMar>
          </w:tcPr>
          <w:p>
            <w:pPr>
              <w:jc w:val="left"/>
            </w:pPr>
            <w:r>
              <w:rPr>
                <w:b w:val="false"/>
                <w:bCs w:val="false"/>
                <w:color w:val="1A1A1A"/>
                <w:sz w:val="18"/>
                <w:szCs w:val="18"/>
              </w:rPr>
              <w:t xml:space="preserve">≤ 5%</w:t>
            </w:r>
          </w:p>
        </w:tc>
        <w:tc>
          <w:tcPr>
            <w:tcMar>
              <w:top w:type="dxa" w:w="60"/>
              <w:left w:type="dxa" w:w="120"/>
              <w:bottom w:type="dxa" w:w="60"/>
              <w:right w:type="dxa" w:w="120"/>
            </w:tcMar>
          </w:tcPr>
          <w:p>
            <w:pPr>
              <w:jc w:val="left"/>
            </w:pPr>
            <w:r>
              <w:rPr>
                <w:b w:val="false"/>
                <w:bCs w:val="false"/>
                <w:color w:val="1A1A1A"/>
                <w:sz w:val="18"/>
                <w:szCs w:val="18"/>
              </w:rPr>
              <w:t xml:space="preserve">Claims system report</w:t>
            </w:r>
          </w:p>
        </w:tc>
        <w:tc>
          <w:tcPr>
            <w:tcMar>
              <w:top w:type="dxa" w:w="60"/>
              <w:left w:type="dxa" w:w="120"/>
              <w:bottom w:type="dxa" w:w="60"/>
              <w:right w:type="dxa" w:w="120"/>
            </w:tcMar>
          </w:tcPr>
          <w:p>
            <w:pPr>
              <w:jc w:val="left"/>
            </w:pPr>
            <w:r>
              <w:rPr>
                <w:b w:val="false"/>
                <w:bCs w:val="false"/>
                <w:color w:val="1A1A1A"/>
                <w:sz w:val="18"/>
                <w:szCs w:val="18"/>
              </w:rPr>
              <w:t xml:space="preserve">Claims Manager</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SLA breach rate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PR-003</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Not currently measured</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&lt; 15%</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&lt; 5%</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Dashboard — live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Operations Director</w:t>
            </w:r>
          </w:p>
        </w:tc>
      </w:tr>
      <w:tr>
        <w:tc>
          <w:tcPr>
            <w:tcMar>
              <w:top w:type="dxa" w:w="60"/>
              <w:left w:type="dxa" w:w="120"/>
              <w:bottom w:type="dxa" w:w="60"/>
              <w:right w:type="dxa" w:w="120"/>
            </w:tcMar>
          </w:tcPr>
          <w:p>
            <w:pPr>
              <w:jc w:val="left"/>
            </w:pPr>
            <w:r>
              <w:rPr>
                <w:b w:val="false"/>
                <w:bCs w:val="false"/>
                <w:color w:val="1A1A1A"/>
                <w:sz w:val="18"/>
                <w:szCs w:val="18"/>
              </w:rPr>
              <w:t xml:space="preserve">Customer NPS (claims experience)</w:t>
            </w:r>
          </w:p>
        </w:tc>
        <w:tc>
          <w:tcPr>
            <w:tcMar>
              <w:top w:type="dxa" w:w="60"/>
              <w:left w:type="dxa" w:w="120"/>
              <w:bottom w:type="dxa" w:w="60"/>
              <w:right w:type="dxa" w:w="120"/>
            </w:tcMar>
          </w:tcPr>
          <w:p>
            <w:pPr>
              <w:jc w:val="left"/>
            </w:pPr>
            <w:r>
              <w:rPr>
                <w:b w:val="false"/>
                <w:bCs w:val="false"/>
                <w:color w:val="1A1A1A"/>
                <w:sz w:val="18"/>
                <w:szCs w:val="18"/>
              </w:rPr>
              <w:t xml:space="preserve">PR-004</w:t>
            </w:r>
          </w:p>
        </w:tc>
        <w:tc>
          <w:tcPr>
            <w:tcMar>
              <w:top w:type="dxa" w:w="60"/>
              <w:left w:type="dxa" w:w="120"/>
              <w:bottom w:type="dxa" w:w="60"/>
              <w:right w:type="dxa" w:w="120"/>
            </w:tcMar>
          </w:tcPr>
          <w:p>
            <w:pPr>
              <w:jc w:val="left"/>
            </w:pPr>
            <w:r>
              <w:rPr>
                <w:b w:val="false"/>
                <w:bCs w:val="false"/>
                <w:color w:val="1A1A1A"/>
                <w:sz w:val="18"/>
                <w:szCs w:val="18"/>
              </w:rPr>
              <w:t xml:space="preserve">Not currently measured</w:t>
            </w:r>
          </w:p>
        </w:tc>
        <w:tc>
          <w:tcPr>
            <w:tcMar>
              <w:top w:type="dxa" w:w="60"/>
              <w:left w:type="dxa" w:w="120"/>
              <w:bottom w:type="dxa" w:w="60"/>
              <w:right w:type="dxa" w:w="120"/>
            </w:tcMar>
          </w:tcPr>
          <w:p>
            <w:pPr>
              <w:jc w:val="left"/>
            </w:pPr>
            <w:r>
              <w:rPr>
                <w:b w:val="false"/>
                <w:bCs w:val="false"/>
                <w:color w:val="1A1A1A"/>
                <w:sz w:val="18"/>
                <w:szCs w:val="18"/>
              </w:rPr>
              <w:t xml:space="preserve">+10 vs baseline</w:t>
            </w:r>
          </w:p>
        </w:tc>
        <w:tc>
          <w:tcPr>
            <w:tcMar>
              <w:top w:type="dxa" w:w="60"/>
              <w:left w:type="dxa" w:w="120"/>
              <w:bottom w:type="dxa" w:w="60"/>
              <w:right w:type="dxa" w:w="120"/>
            </w:tcMar>
          </w:tcPr>
          <w:p>
            <w:pPr>
              <w:jc w:val="left"/>
            </w:pPr>
            <w:r>
              <w:rPr>
                <w:b w:val="false"/>
                <w:bCs w:val="false"/>
                <w:color w:val="1A1A1A"/>
                <w:sz w:val="18"/>
                <w:szCs w:val="18"/>
              </w:rPr>
              <w:t xml:space="preserve">+20 vs baseline</w:t>
            </w:r>
          </w:p>
        </w:tc>
        <w:tc>
          <w:tcPr>
            <w:tcMar>
              <w:top w:type="dxa" w:w="60"/>
              <w:left w:type="dxa" w:w="120"/>
              <w:bottom w:type="dxa" w:w="60"/>
              <w:right w:type="dxa" w:w="120"/>
            </w:tcMar>
          </w:tcPr>
          <w:p>
            <w:pPr>
              <w:jc w:val="left"/>
            </w:pPr>
            <w:r>
              <w:rPr>
                <w:b w:val="false"/>
                <w:bCs w:val="false"/>
                <w:color w:val="1A1A1A"/>
                <w:sz w:val="18"/>
                <w:szCs w:val="18"/>
              </w:rPr>
              <w:t xml:space="preserve">Post-decision survey</w:t>
            </w:r>
          </w:p>
        </w:tc>
        <w:tc>
          <w:tcPr>
            <w:tcMar>
              <w:top w:type="dxa" w:w="60"/>
              <w:left w:type="dxa" w:w="120"/>
              <w:bottom w:type="dxa" w:w="60"/>
              <w:right w:type="dxa" w:w="120"/>
            </w:tcMar>
          </w:tcPr>
          <w:p>
            <w:pPr>
              <w:jc w:val="left"/>
            </w:pPr>
            <w:r>
              <w:rPr>
                <w:b w:val="false"/>
                <w:bCs w:val="false"/>
                <w:color w:val="1A1A1A"/>
                <w:sz w:val="18"/>
                <w:szCs w:val="18"/>
              </w:rPr>
              <w:t xml:space="preserve">Operations Director</w:t>
            </w:r>
          </w:p>
        </w:tc>
      </w:tr>
    </w:tbl>
    <w:p>
      <w:pPr>
        <w:spacing w:before="200"/>
      </w:pPr>
    </w:p>
    <w:p>
      <w:pPr>
        <w:spacing w:after="150" w:before="300"/>
      </w:pPr>
      <w:r>
        <w:rPr>
          <w:b/>
          <w:bCs/>
          <w:color w:val="2E75B6"/>
          <w:sz w:val="24"/>
          <w:szCs w:val="24"/>
        </w:rPr>
        <w:t xml:space="preserve">7.1 Cost of Inaction</w:t>
      </w:r>
    </w:p>
    <w:p>
      <w:pPr>
        <w:spacing w:after="80" w:before="80"/>
      </w:pPr>
      <w:r>
        <w:rPr>
          <w:color w:val="1A1A1A"/>
          <w:sz w:val="20"/>
          <w:szCs w:val="20"/>
        </w:rPr>
        <w:t xml:space="preserve">The following cost model was presented to the Board to quantify the annual cost of the current state — and therefore the value of closing the identified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Cost Category</w:t>
            </w:r>
          </w:p>
        </w:tc>
        <w:tc>
          <w:tcPr>
            <w:shd w:fill="1F4E79" w:color="auto" w:val="clear"/>
            <w:tcMar>
              <w:top w:type="dxa" w:w="80"/>
              <w:left w:type="dxa" w:w="120"/>
              <w:bottom w:type="dxa" w:w="80"/>
              <w:right w:type="dxa" w:w="120"/>
            </w:tcMar>
          </w:tcPr>
          <w:p>
            <w:pPr>
              <w:jc w:val="left"/>
            </w:pPr>
            <w:r>
              <w:rPr>
                <w:b/>
                <w:bCs/>
                <w:color w:val="FFFFFF"/>
                <w:sz w:val="18"/>
                <w:szCs w:val="18"/>
              </w:rPr>
              <w:t xml:space="preserve">Calculation Basis</w:t>
            </w:r>
          </w:p>
        </w:tc>
        <w:tc>
          <w:tcPr>
            <w:shd w:fill="1F4E79" w:color="auto" w:val="clear"/>
            <w:tcMar>
              <w:top w:type="dxa" w:w="80"/>
              <w:left w:type="dxa" w:w="120"/>
              <w:bottom w:type="dxa" w:w="80"/>
              <w:right w:type="dxa" w:w="120"/>
            </w:tcMar>
          </w:tcPr>
          <w:p>
            <w:pPr>
              <w:jc w:val="left"/>
            </w:pPr>
            <w:r>
              <w:rPr>
                <w:b/>
                <w:bCs/>
                <w:color w:val="FFFFFF"/>
                <w:sz w:val="18"/>
                <w:szCs w:val="18"/>
              </w:rPr>
              <w:t xml:space="preserve">Annual Cost (£)</w:t>
            </w:r>
          </w:p>
        </w:tc>
      </w:tr>
      <w:tr>
        <w:tc>
          <w:tcPr>
            <w:tcMar>
              <w:top w:type="dxa" w:w="60"/>
              <w:left w:type="dxa" w:w="120"/>
              <w:bottom w:type="dxa" w:w="60"/>
              <w:right w:type="dxa" w:w="120"/>
            </w:tcMar>
          </w:tcPr>
          <w:p>
            <w:pPr>
              <w:jc w:val="left"/>
            </w:pPr>
            <w:r>
              <w:rPr>
                <w:b w:val="false"/>
                <w:bCs w:val="false"/>
                <w:color w:val="1A1A1A"/>
                <w:sz w:val="18"/>
                <w:szCs w:val="18"/>
              </w:rPr>
              <w:t xml:space="preserve">Staff time on data re-entry</w:t>
            </w:r>
          </w:p>
        </w:tc>
        <w:tc>
          <w:tcPr>
            <w:tcMar>
              <w:top w:type="dxa" w:w="60"/>
              <w:left w:type="dxa" w:w="120"/>
              <w:bottom w:type="dxa" w:w="60"/>
              <w:right w:type="dxa" w:w="120"/>
            </w:tcMar>
          </w:tcPr>
          <w:p>
            <w:pPr>
              <w:jc w:val="left"/>
            </w:pPr>
            <w:r>
              <w:rPr>
                <w:b w:val="false"/>
                <w:bCs w:val="false"/>
                <w:color w:val="1A1A1A"/>
                <w:sz w:val="18"/>
                <w:szCs w:val="18"/>
              </w:rPr>
              <w:t xml:space="preserve">Finance team: 70 re-entries/week × 45 mins × £24/hr × 52 weeks</w:t>
            </w:r>
          </w:p>
        </w:tc>
        <w:tc>
          <w:tcPr>
            <w:tcMar>
              <w:top w:type="dxa" w:w="60"/>
              <w:left w:type="dxa" w:w="120"/>
              <w:bottom w:type="dxa" w:w="60"/>
              <w:right w:type="dxa" w:w="120"/>
            </w:tcMar>
          </w:tcPr>
          <w:p>
            <w:pPr>
              <w:jc w:val="left"/>
            </w:pPr>
            <w:r>
              <w:rPr>
                <w:b w:val="false"/>
                <w:bCs w:val="false"/>
                <w:color w:val="1A1A1A"/>
                <w:sz w:val="18"/>
                <w:szCs w:val="18"/>
              </w:rPr>
              <w:t xml:space="preserve">£65,520</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Rework cost (18% rework rate)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1,200 claims/month × 18% × 1.5 hrs rework × £24/hr × 12 months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£93,312</w:t>
            </w:r>
          </w:p>
        </w:tc>
      </w:tr>
      <w:tr>
        <w:tc>
          <w:tcPr>
            <w:tcMar>
              <w:top w:type="dxa" w:w="60"/>
              <w:left w:type="dxa" w:w="120"/>
              <w:bottom w:type="dxa" w:w="60"/>
              <w:right w:type="dxa" w:w="120"/>
            </w:tcMar>
          </w:tcPr>
          <w:p>
            <w:pPr>
              <w:jc w:val="left"/>
            </w:pPr>
            <w:r>
              <w:rPr>
                <w:b w:val="false"/>
                <w:bCs w:val="false"/>
                <w:color w:val="1A1A1A"/>
                <w:sz w:val="18"/>
                <w:szCs w:val="18"/>
              </w:rPr>
              <w:t xml:space="preserve">Supervisor routing time</w:t>
            </w:r>
          </w:p>
        </w:tc>
        <w:tc>
          <w:tcPr>
            <w:tcMar>
              <w:top w:type="dxa" w:w="60"/>
              <w:left w:type="dxa" w:w="120"/>
              <w:bottom w:type="dxa" w:w="60"/>
              <w:right w:type="dxa" w:w="120"/>
            </w:tcMar>
          </w:tcPr>
          <w:p>
            <w:pPr>
              <w:jc w:val="left"/>
            </w:pPr>
            <w:r>
              <w:rPr>
                <w:b w:val="false"/>
                <w:bCs w:val="false"/>
                <w:color w:val="1A1A1A"/>
                <w:sz w:val="18"/>
                <w:szCs w:val="18"/>
              </w:rPr>
              <w:t xml:space="preserve">2 hrs/day × 220 working days × £35/hr</w:t>
            </w:r>
          </w:p>
        </w:tc>
        <w:tc>
          <w:tcPr>
            <w:tcMar>
              <w:top w:type="dxa" w:w="60"/>
              <w:left w:type="dxa" w:w="120"/>
              <w:bottom w:type="dxa" w:w="60"/>
              <w:right w:type="dxa" w:w="120"/>
            </w:tcMar>
          </w:tcPr>
          <w:p>
            <w:pPr>
              <w:jc w:val="left"/>
            </w:pPr>
            <w:r>
              <w:rPr>
                <w:b w:val="false"/>
                <w:bCs w:val="false"/>
                <w:color w:val="1A1A1A"/>
                <w:sz w:val="18"/>
                <w:szCs w:val="18"/>
              </w:rPr>
              <w:t xml:space="preserve">£15,400</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Lost productivity — undocumented workarounds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4 handlers × 1.5 hrs/day on workarounds × 220 days × £24/hr</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£316,800</w:t>
            </w:r>
          </w:p>
        </w:tc>
      </w:tr>
      <w:tr>
        <w:tc>
          <w:tcPr>
            <w:tcMar>
              <w:top w:type="dxa" w:w="60"/>
              <w:left w:type="dxa" w:w="120"/>
              <w:bottom w:type="dxa" w:w="60"/>
              <w:right w:type="dxa" w:w="120"/>
            </w:tcMar>
          </w:tcPr>
          <w:p>
            <w:pPr>
              <w:jc w:val="left"/>
            </w:pPr>
            <w:r>
              <w:rPr>
                <w:b w:val="false"/>
                <w:bCs w:val="false"/>
                <w:color w:val="1A1A1A"/>
                <w:sz w:val="18"/>
                <w:szCs w:val="18"/>
              </w:rPr>
              <w:t xml:space="preserve">Revenue impact — slow processing (customer churn estimate)</w:t>
            </w:r>
          </w:p>
        </w:tc>
        <w:tc>
          <w:tcPr>
            <w:tcMar>
              <w:top w:type="dxa" w:w="60"/>
              <w:left w:type="dxa" w:w="120"/>
              <w:bottom w:type="dxa" w:w="60"/>
              <w:right w:type="dxa" w:w="120"/>
            </w:tcMar>
          </w:tcPr>
          <w:p>
            <w:pPr>
              <w:jc w:val="left"/>
            </w:pPr>
            <w:r>
              <w:rPr>
                <w:b w:val="false"/>
                <w:bCs w:val="false"/>
                <w:color w:val="1A1A1A"/>
                <w:sz w:val="18"/>
                <w:szCs w:val="18"/>
              </w:rPr>
              <w:t xml:space="preserve">5% of claimants do not renew policy following poor claims experience × £120 avg premium × 1,200 annual claimants</w:t>
            </w:r>
          </w:p>
        </w:tc>
        <w:tc>
          <w:tcPr>
            <w:tcMar>
              <w:top w:type="dxa" w:w="60"/>
              <w:left w:type="dxa" w:w="120"/>
              <w:bottom w:type="dxa" w:w="60"/>
              <w:right w:type="dxa" w:w="120"/>
            </w:tcMar>
          </w:tcPr>
          <w:p>
            <w:pPr>
              <w:jc w:val="left"/>
            </w:pPr>
            <w:r>
              <w:rPr>
                <w:b w:val="false"/>
                <w:bCs w:val="false"/>
                <w:color w:val="1A1A1A"/>
                <w:sz w:val="18"/>
                <w:szCs w:val="18"/>
              </w:rPr>
              <w:t xml:space="preserve">£72,000</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Risk cost — GDPR non-compliance (Excel data)</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Estimated probability-weighted ICO fine risk (low probability, high impact)</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£50,000 risk-adjusted</w:t>
            </w:r>
          </w:p>
        </w:tc>
      </w:tr>
      <w:tr>
        <w:tc>
          <w:tcPr>
            <w:tcMar>
              <w:top w:type="dxa" w:w="60"/>
              <w:left w:type="dxa" w:w="120"/>
              <w:bottom w:type="dxa" w:w="60"/>
              <w:right w:type="dxa" w:w="120"/>
            </w:tcMar>
          </w:tcPr>
          <w:p>
            <w:pPr>
              <w:jc w:val="left"/>
            </w:pPr>
            <w:r>
              <w:rPr>
                <w:b w:val="false"/>
                <w:bCs w:val="false"/>
                <w:color w:val="1A1A1A"/>
                <w:sz w:val="18"/>
                <w:szCs w:val="18"/>
              </w:rPr>
              <w:t xml:space="preserve">Management time on reactive problem-solving</w:t>
            </w:r>
          </w:p>
        </w:tc>
        <w:tc>
          <w:tcPr>
            <w:tcMar>
              <w:top w:type="dxa" w:w="60"/>
              <w:left w:type="dxa" w:w="120"/>
              <w:bottom w:type="dxa" w:w="60"/>
              <w:right w:type="dxa" w:w="120"/>
            </w:tcMar>
          </w:tcPr>
          <w:p>
            <w:pPr>
              <w:jc w:val="left"/>
            </w:pPr>
            <w:r>
              <w:rPr>
                <w:b w:val="false"/>
                <w:bCs w:val="false"/>
                <w:color w:val="1A1A1A"/>
                <w:sz w:val="18"/>
                <w:szCs w:val="18"/>
              </w:rPr>
              <w:t xml:space="preserve">Operations Director + Claims Manager × 3 hrs/week × £55/hr × 52 weeks</w:t>
            </w:r>
          </w:p>
        </w:tc>
        <w:tc>
          <w:tcPr>
            <w:tcMar>
              <w:top w:type="dxa" w:w="60"/>
              <w:left w:type="dxa" w:w="120"/>
              <w:bottom w:type="dxa" w:w="60"/>
              <w:right w:type="dxa" w:w="120"/>
            </w:tcMar>
          </w:tcPr>
          <w:p>
            <w:pPr>
              <w:jc w:val="left"/>
            </w:pPr>
            <w:r>
              <w:rPr>
                <w:b w:val="false"/>
                <w:bCs w:val="false"/>
                <w:color w:val="1A1A1A"/>
                <w:sz w:val="18"/>
                <w:szCs w:val="18"/>
              </w:rPr>
              <w:t xml:space="preserve">£17,160</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Estimated additional costs not fully quantified</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Document management, postage, paper, storage, manual search time</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~£460,000</w:t>
            </w:r>
          </w:p>
        </w:tc>
      </w:tr>
      <w:tr>
        <w:tc>
          <w:tcPr>
            <w:tcMar>
              <w:top w:type="dxa" w:w="60"/>
              <w:left w:type="dxa" w:w="120"/>
              <w:bottom w:type="dxa" w:w="60"/>
              <w:right w:type="dxa" w:w="120"/>
            </w:tcMar>
          </w:tcPr>
          <w:p>
            <w:pPr>
              <w:jc w:val="left"/>
            </w:pPr>
            <w:r>
              <w:rPr>
                <w:b w:val="false"/>
                <w:bCs w:val="false"/>
                <w:color w:val="1A1A1A"/>
                <w:sz w:val="18"/>
                <w:szCs w:val="18"/>
              </w:rPr>
              <w:t xml:space="preserve">Total estimated annual cost of current state</w:t>
            </w:r>
          </w:p>
        </w:tc>
        <w:tc>
          <w:tcPr>
            <w:tcMar>
              <w:top w:type="dxa" w:w="60"/>
              <w:left w:type="dxa" w:w="120"/>
              <w:bottom w:type="dxa" w:w="60"/>
              <w:right w:type="dxa" w:w="120"/>
            </w:tcMar>
          </w:tcPr>
          <w:p>
            <w:pPr>
              <w:jc w:val="left"/>
            </w:pPr>
            <w:r>
              <w:rPr>
                <w:b w:val="false"/>
                <w:bCs w:val="false"/>
                <w:color w:val="1A1A1A"/>
                <w:sz w:val="18"/>
                <w:szCs w:val="18"/>
              </w:rPr>
              <w:t xml:space="preserve"/>
            </w:r>
          </w:p>
        </w:tc>
        <w:tc>
          <w:tcPr>
            <w:tcMar>
              <w:top w:type="dxa" w:w="60"/>
              <w:left w:type="dxa" w:w="120"/>
              <w:bottom w:type="dxa" w:w="60"/>
              <w:right w:type="dxa" w:w="120"/>
            </w:tcMar>
          </w:tcPr>
          <w:p>
            <w:pPr>
              <w:jc w:val="left"/>
            </w:pPr>
            <w:r>
              <w:rPr>
                <w:b w:val="false"/>
                <w:bCs w:val="false"/>
                <w:color w:val="1A1A1A"/>
                <w:sz w:val="18"/>
                <w:szCs w:val="18"/>
              </w:rPr>
              <w:t xml:space="preserve">~£1,090,000</w:t>
            </w:r>
          </w:p>
        </w:tc>
      </w:tr>
    </w:tbl>
    <w:p>
      <w:r>
        <w:br w:type="page"/>
      </w:r>
    </w:p>
    <w:p>
      <w:pPr>
        <w:pBdr>
          <w:bottom w:val="single" w:color="2E75B6" w:sz="8"/>
        </w:pBdr>
        <w:spacing w:after="200" w:before="400"/>
      </w:pPr>
      <w:r>
        <w:rPr>
          <w:b/>
          <w:bCs/>
          <w:color w:val="1F4E79"/>
          <w:sz w:val="30"/>
          <w:szCs w:val="30"/>
        </w:rPr>
        <w:t xml:space="preserve">8. Conclusion and Recommendation</w:t>
      </w:r>
    </w:p>
    <w:p>
      <w:pPr>
        <w:spacing w:after="80" w:before="80"/>
      </w:pPr>
      <w:r>
        <w:rPr>
          <w:color w:val="1A1A1A"/>
          <w:sz w:val="20"/>
          <w:szCs w:val="20"/>
        </w:rPr>
        <w:t xml:space="preserve">The 17 gaps identified in this analysis are not independent — they are connected. The technology gap (legacy system) is the root constraint, but it has created downstream process gaps (manual routing, no notifications, manual re-entry) that in turn have driven people gaps (handlers building Excel workarounds, supervisor time absorbed by manual tasks).</w:t>
      </w:r>
    </w:p>
    <w:p>
      <w:pPr>
        <w:spacing w:after="80" w:before="80"/>
      </w:pPr>
      <w:r>
        <w:rPr>
          <w:color w:val="1A1A1A"/>
          <w:sz w:val="20"/>
          <w:szCs w:val="20"/>
        </w:rPr>
        <w:t xml:space="preserve">This means the transformation must be treated as a people, process, and technology programme — not simply a technology replacement project. Installing a new system without addressing the change management, skills, and process redesign gaps will not deliver the projected benefits.</w:t>
      </w:r>
    </w:p>
    <w:p>
      <w:pPr>
        <w:spacing w:after="80" w:before="80"/>
      </w:pPr>
      <w:r>
        <w:rPr>
          <w:color w:val="1A1A1A"/>
          <w:sz w:val="20"/>
          <w:szCs w:val="20"/>
        </w:rPr>
        <w:t xml:space="preserve">The recommended approach is a phased delivery:</w:t>
      </w:r>
    </w:p>
    <w:p>
      <w:pPr>
        <w:spacing w:after="60" w:before="60"/>
        <w:ind w:left="360"/>
      </w:pPr>
      <w:r>
        <w:rPr>
          <w:color w:val="1A1A1A"/>
          <w:sz w:val="20"/>
          <w:szCs w:val="20"/>
        </w:rPr>
        <w:t xml:space="preserve">• Phase 1 (Priority: Must Have requirements) — Digital claim intake, automated routing, Sage integration, SLA dashboard. Estimated delivery: 10 weeks.</w:t>
      </w:r>
    </w:p>
    <w:p>
      <w:pPr>
        <w:spacing w:after="60" w:before="60"/>
        <w:ind w:left="360"/>
      </w:pPr>
      <w:r>
        <w:rPr>
          <w:color w:val="1A1A1A"/>
          <w:sz w:val="20"/>
          <w:szCs w:val="20"/>
        </w:rPr>
        <w:t xml:space="preserve">• Phase 2 (Priority: Should Have) — Customer notifications, role-based access, mobile optimisation, identity verification integration. Estimated delivery: 8 weeks post-Phase 1.</w:t>
      </w:r>
    </w:p>
    <w:p>
      <w:pPr>
        <w:spacing w:after="60" w:before="60"/>
        <w:ind w:left="360"/>
      </w:pPr>
      <w:r>
        <w:rPr>
          <w:color w:val="1A1A1A"/>
          <w:sz w:val="20"/>
          <w:szCs w:val="20"/>
        </w:rPr>
        <w:t xml:space="preserve">• Phase 3 (Priority: Could Have) — Advanced analytics, native mobile app, live chat, third-party API integrations.</w:t>
      </w:r>
    </w:p>
    <w:p>
      <w:pPr>
        <w:spacing w:before="200"/>
      </w:pPr>
    </w:p>
    <w:p>
      <w:pPr>
        <w:spacing w:after="80" w:before="80"/>
      </w:pPr>
      <w:r>
        <w:rPr>
          <w:color w:val="1A1A1A"/>
          <w:sz w:val="20"/>
          <w:szCs w:val="20"/>
        </w:rPr>
        <w:t xml:space="preserve">The business case is strong. A £320K investment against £1.09M annual cost of inaction delivers payback in under 6 months. The Board approved the programme based on this analysis.</w:t>
      </w:r>
    </w:p>
    <w:p>
      <w:pPr>
        <w:spacing w:before="300"/>
      </w:pPr>
    </w:p>
    <w:p>
      <w:pPr>
        <w:pBdr>
          <w:bottom w:val="single" w:color="2E75B6" w:sz="8"/>
        </w:pBdr>
        <w:spacing w:after="200" w:before="400"/>
      </w:pPr>
      <w:r>
        <w:rPr>
          <w:b/>
          <w:bCs/>
          <w:color w:val="1F4E79"/>
          <w:sz w:val="30"/>
          <w:szCs w:val="30"/>
        </w:rPr>
        <w:t xml:space="preserve">9. 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Name</w:t>
            </w:r>
          </w:p>
        </w:tc>
        <w:tc>
          <w:tcPr>
            <w:shd w:fill="1F4E79" w:color="auto" w:val="clear"/>
            <w:tcMar>
              <w:top w:type="dxa" w:w="80"/>
              <w:left w:type="dxa" w:w="120"/>
              <w:bottom w:type="dxa" w:w="80"/>
              <w:right w:type="dxa" w:w="120"/>
            </w:tcMar>
          </w:tcPr>
          <w:p>
            <w:pPr>
              <w:jc w:val="left"/>
            </w:pPr>
            <w:r>
              <w:rPr>
                <w:b/>
                <w:bCs/>
                <w:color w:val="FFFFFF"/>
                <w:sz w:val="18"/>
                <w:szCs w:val="18"/>
              </w:rPr>
              <w:t xml:space="preserve">Role</w:t>
            </w:r>
          </w:p>
        </w:tc>
        <w:tc>
          <w:tcPr>
            <w:shd w:fill="1F4E79" w:color="auto" w:val="clear"/>
            <w:tcMar>
              <w:top w:type="dxa" w:w="80"/>
              <w:left w:type="dxa" w:w="120"/>
              <w:bottom w:type="dxa" w:w="80"/>
              <w:right w:type="dxa" w:w="120"/>
            </w:tcMar>
          </w:tcPr>
          <w:p>
            <w:pPr>
              <w:jc w:val="left"/>
            </w:pPr>
            <w:r>
              <w:rPr>
                <w:b/>
                <w:bCs/>
                <w:color w:val="FFFFFF"/>
                <w:sz w:val="18"/>
                <w:szCs w:val="18"/>
              </w:rPr>
              <w:t xml:space="preserve">Review Date</w:t>
            </w:r>
          </w:p>
        </w:tc>
        <w:tc>
          <w:tcPr>
            <w:shd w:fill="1F4E79" w:color="auto" w:val="clear"/>
            <w:tcMar>
              <w:top w:type="dxa" w:w="80"/>
              <w:left w:type="dxa" w:w="120"/>
              <w:bottom w:type="dxa" w:w="80"/>
              <w:right w:type="dxa" w:w="120"/>
            </w:tcMar>
          </w:tcPr>
          <w:p>
            <w:pPr>
              <w:jc w:val="left"/>
            </w:pPr>
            <w:r>
              <w:rPr>
                <w:b/>
                <w:bCs/>
                <w:color w:val="FFFFFF"/>
                <w:sz w:val="18"/>
                <w:szCs w:val="18"/>
              </w:rPr>
              <w:t xml:space="preserve">Status</w:t>
            </w:r>
          </w:p>
        </w:tc>
      </w:tr>
      <w:tr>
        <w:tc>
          <w:tcPr>
            <w:tcMar>
              <w:top w:type="dxa" w:w="60"/>
              <w:left w:type="dxa" w:w="120"/>
              <w:bottom w:type="dxa" w:w="60"/>
              <w:right w:type="dxa" w:w="120"/>
            </w:tcMar>
          </w:tcPr>
          <w:p>
            <w:pPr>
              <w:jc w:val="left"/>
            </w:pPr>
            <w:r>
              <w:rPr>
                <w:b w:val="false"/>
                <w:bCs w:val="false"/>
                <w:color w:val="1A1A1A"/>
                <w:sz w:val="18"/>
                <w:szCs w:val="18"/>
              </w:rPr>
              <w:t xml:space="preserve">James Whitmore</w:t>
            </w:r>
          </w:p>
        </w:tc>
        <w:tc>
          <w:tcPr>
            <w:tcMar>
              <w:top w:type="dxa" w:w="60"/>
              <w:left w:type="dxa" w:w="120"/>
              <w:bottom w:type="dxa" w:w="60"/>
              <w:right w:type="dxa" w:w="120"/>
            </w:tcMar>
          </w:tcPr>
          <w:p>
            <w:pPr>
              <w:jc w:val="left"/>
            </w:pPr>
            <w:r>
              <w:rPr>
                <w:b w:val="false"/>
                <w:bCs w:val="false"/>
                <w:color w:val="1A1A1A"/>
                <w:sz w:val="18"/>
                <w:szCs w:val="18"/>
              </w:rPr>
              <w:t xml:space="preserve">Operations Director</w:t>
            </w:r>
          </w:p>
        </w:tc>
        <w:tc>
          <w:tcPr>
            <w:tcMar>
              <w:top w:type="dxa" w:w="60"/>
              <w:left w:type="dxa" w:w="120"/>
              <w:bottom w:type="dxa" w:w="60"/>
              <w:right w:type="dxa" w:w="120"/>
            </w:tcMar>
          </w:tcPr>
          <w:p>
            <w:pPr>
              <w:jc w:val="left"/>
            </w:pPr>
            <w:r>
              <w:rPr>
                <w:b w:val="false"/>
                <w:bCs w:val="false"/>
                <w:color w:val="1A1A1A"/>
                <w:sz w:val="18"/>
                <w:szCs w:val="18"/>
              </w:rPr>
              <w:t xml:space="preserve">Week 10</w:t>
            </w:r>
          </w:p>
        </w:tc>
        <w:tc>
          <w:tcPr>
            <w:tcMar>
              <w:top w:type="dxa" w:w="60"/>
              <w:left w:type="dxa" w:w="120"/>
              <w:bottom w:type="dxa" w:w="60"/>
              <w:right w:type="dxa" w:w="120"/>
            </w:tcMar>
          </w:tcPr>
          <w:p>
            <w:pPr>
              <w:jc w:val="left"/>
            </w:pPr>
            <w:r>
              <w:rPr>
                <w:b w:val="false"/>
                <w:bCs w:val="false"/>
                <w:color w:val="1A1A1A"/>
                <w:sz w:val="18"/>
                <w:szCs w:val="18"/>
              </w:rPr>
              <w:t xml:space="preserve">Approved — presented to Board</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Claire Hendricks</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Claims Manager</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Week 10</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Approved</w:t>
            </w:r>
          </w:p>
        </w:tc>
      </w:tr>
      <w:tr>
        <w:tc>
          <w:tcPr>
            <w:tcMar>
              <w:top w:type="dxa" w:w="60"/>
              <w:left w:type="dxa" w:w="120"/>
              <w:bottom w:type="dxa" w:w="60"/>
              <w:right w:type="dxa" w:w="120"/>
            </w:tcMar>
          </w:tcPr>
          <w:p>
            <w:pPr>
              <w:jc w:val="left"/>
            </w:pPr>
            <w:r>
              <w:rPr>
                <w:b w:val="false"/>
                <w:bCs w:val="false"/>
                <w:color w:val="1A1A1A"/>
                <w:sz w:val="18"/>
                <w:szCs w:val="18"/>
              </w:rPr>
              <w:t xml:space="preserve">Mark Liu</w:t>
            </w:r>
          </w:p>
        </w:tc>
        <w:tc>
          <w:tcPr>
            <w:tcMar>
              <w:top w:type="dxa" w:w="60"/>
              <w:left w:type="dxa" w:w="120"/>
              <w:bottom w:type="dxa" w:w="60"/>
              <w:right w:type="dxa" w:w="120"/>
            </w:tcMar>
          </w:tcPr>
          <w:p>
            <w:pPr>
              <w:jc w:val="left"/>
            </w:pPr>
            <w:r>
              <w:rPr>
                <w:b w:val="false"/>
                <w:bCs w:val="false"/>
                <w:color w:val="1A1A1A"/>
                <w:sz w:val="18"/>
                <w:szCs w:val="18"/>
              </w:rPr>
              <w:t xml:space="preserve">IT Lead</w:t>
            </w:r>
          </w:p>
        </w:tc>
        <w:tc>
          <w:tcPr>
            <w:tcMar>
              <w:top w:type="dxa" w:w="60"/>
              <w:left w:type="dxa" w:w="120"/>
              <w:bottom w:type="dxa" w:w="60"/>
              <w:right w:type="dxa" w:w="120"/>
            </w:tcMar>
          </w:tcPr>
          <w:p>
            <w:pPr>
              <w:jc w:val="left"/>
            </w:pPr>
            <w:r>
              <w:rPr>
                <w:b w:val="false"/>
                <w:bCs w:val="false"/>
                <w:color w:val="1A1A1A"/>
                <w:sz w:val="18"/>
                <w:szCs w:val="18"/>
              </w:rPr>
              <w:t xml:space="preserve">Week 10</w:t>
            </w:r>
          </w:p>
        </w:tc>
        <w:tc>
          <w:tcPr>
            <w:tcMar>
              <w:top w:type="dxa" w:w="60"/>
              <w:left w:type="dxa" w:w="120"/>
              <w:bottom w:type="dxa" w:w="60"/>
              <w:right w:type="dxa" w:w="120"/>
            </w:tcMar>
          </w:tcPr>
          <w:p>
            <w:pPr>
              <w:jc w:val="left"/>
            </w:pPr>
            <w:r>
              <w:rPr>
                <w:b w:val="false"/>
                <w:bCs w:val="false"/>
                <w:color w:val="1A1A1A"/>
                <w:sz w:val="18"/>
                <w:szCs w:val="18"/>
              </w:rPr>
              <w:t xml:space="preserve">Approved</w:t>
            </w:r>
          </w:p>
        </w:tc>
      </w:tr>
      <w:tr>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Sarah Brennan</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Finance Director</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Week 10</w:t>
            </w:r>
          </w:p>
        </w:tc>
        <w:tc>
          <w:tcPr>
            <w:shd w:fill="F5F5F5" w:color="auto" w:val="clear"/>
            <w:tcMar>
              <w:top w:type="dxa" w:w="60"/>
              <w:left w:type="dxa" w:w="120"/>
              <w:bottom w:type="dxa" w:w="60"/>
              <w:right w:type="dxa" w:w="120"/>
            </w:tcMar>
          </w:tcPr>
          <w:p>
            <w:pPr>
              <w:jc w:val="left"/>
            </w:pPr>
            <w:r>
              <w:rPr>
                <w:b w:val="false"/>
                <w:bCs w:val="false"/>
                <w:color w:val="1A1A1A"/>
                <w:sz w:val="18"/>
                <w:szCs w:val="18"/>
              </w:rPr>
              <w:t xml:space="preserve">Approved — budget confirmed</w:t>
            </w:r>
          </w:p>
        </w:tc>
      </w:tr>
    </w:tbl>
    <w:p>
      <w:pPr>
        <w:spacing w:before="400"/>
      </w:pPr>
    </w:p>
    <w:p>
      <w:pPr>
        <w:jc w:val="center"/>
      </w:pPr>
      <w:r>
        <w:rPr>
          <w:color w:val="888888"/>
          <w:sz w:val="18"/>
          <w:szCs w:val="18"/>
        </w:rPr>
        <w:t xml:space="preserve">End of Document — InsureRight Gap Analysis v1.0</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color w:val="888888"/>
        <w:sz w:val="16"/>
        <w:szCs w:val="16"/>
      </w:rPr>
      <w:t xml:space="preserve">Prepared by: Shweta Goyal, Technical Business Analyst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right"/>
    </w:pPr>
    <w:r>
      <w:rPr>
        <w:b/>
        <w:bCs/>
        <w:color w:val="2E75B6"/>
        <w:sz w:val="18"/>
        <w:szCs w:val="18"/>
      </w:rPr>
      <w:t xml:space="preserve">InsureRight Digital Transformation — Gap Analysis v1.0</w:t>
    </w:r>
    <w:r>
      <w:rPr>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InsureRight Digital Transformation — Gap Analysis</dc:title>
  <dc:creator>Shweta Goyal</dc:creator>
  <cp:lastModifiedBy>Un-named</cp:lastModifiedBy>
  <cp:revision>1</cp:revision>
  <dcterms:created xsi:type="dcterms:W3CDTF">2026-06-15T21:04:35.775Z</dcterms:created>
  <dcterms:modified xsi:type="dcterms:W3CDTF">2026-06-15T21:04:35.776Z</dcterms:modified>
</cp:coreProperties>
</file>

<file path=docProps/custom.xml><?xml version="1.0" encoding="utf-8"?>
<Properties xmlns="http://schemas.openxmlformats.org/officeDocument/2006/custom-properties" xmlns:vt="http://schemas.openxmlformats.org/officeDocument/2006/docPropsVTypes"/>
</file>