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0"/>
        </w:rPr>
        <w:t>CourseCraft — Estimation Sheet</w:t>
      </w:r>
    </w:p>
    <w:p>
      <w:r>
        <w:rPr>
          <w:b/>
          <w:sz w:val="19"/>
        </w:rPr>
        <w:t>Case Study 108 | Version 1.0 | 1 October 2026</w:t>
      </w:r>
    </w:p>
    <w:p>
      <w:pPr>
        <w:spacing w:after="60"/>
      </w:pPr>
      <w:r>
        <w:t>Purpose: Walk through the production and revenue arithmetic using only the figures in the case, and explain what the results do—and do not—tell us.</w:t>
      </w:r>
    </w:p>
    <w:p>
      <w:pPr>
        <w:pStyle w:val="Heading2"/>
      </w:pPr>
      <w:r>
        <w:rPr>
          <w:sz w:val="26"/>
        </w:rPr>
        <w:t>1. Inputs supplied by the case</w:t>
      </w:r>
    </w:p>
    <w:tbl>
      <w:tblPr>
        <w:tblStyle w:val="TableGrid"/>
        <w:tblW w:type="auto" w:w="0"/>
        <w:jc w:val="center"/>
        <w:tblLayout w:type="fixed"/>
        <w:tblLook w:firstColumn="1" w:firstRow="1" w:lastColumn="0" w:lastRow="0" w:noHBand="0" w:noVBand="1" w:val="04A0"/>
      </w:tblPr>
      <w:tblGrid>
        <w:gridCol w:w="3988"/>
        <w:gridCol w:w="1490"/>
        <w:gridCol w:w="4688"/>
      </w:tblGrid>
      <w:tr>
        <w:trPr>
          <w:tblHeader w:val="true"/>
        </w:trPr>
        <w:tc>
          <w:tcPr>
            <w:tcW w:type="dxa" w:w="3988"/>
            <w:vAlign w:val="center"/>
            <w:tcMar>
              <w:top w:w="70" w:type="dxa"/>
              <w:start w:w="85" w:type="dxa"/>
              <w:bottom w:w="70" w:type="dxa"/>
              <w:end w:w="85" w:type="dxa"/>
            </w:tcMar>
            <w:shd w:fill="17365D"/>
          </w:tcPr>
          <w:p>
            <w:pPr>
              <w:spacing w:after="0" w:before="0"/>
            </w:pPr>
            <w:r>
              <w:rPr>
                <w:b/>
                <w:color w:val="FFFFFF"/>
                <w:sz w:val="17"/>
              </w:rPr>
              <w:t>Input</w:t>
            </w:r>
          </w:p>
        </w:tc>
        <w:tc>
          <w:tcPr>
            <w:tcW w:type="dxa" w:w="1490"/>
            <w:vAlign w:val="center"/>
            <w:tcMar>
              <w:top w:w="70" w:type="dxa"/>
              <w:start w:w="85" w:type="dxa"/>
              <w:bottom w:w="70" w:type="dxa"/>
              <w:end w:w="85" w:type="dxa"/>
            </w:tcMar>
            <w:shd w:fill="17365D"/>
          </w:tcPr>
          <w:p>
            <w:pPr>
              <w:spacing w:after="0" w:before="0"/>
            </w:pPr>
            <w:r>
              <w:rPr>
                <w:b/>
                <w:color w:val="FFFFFF"/>
                <w:sz w:val="17"/>
              </w:rPr>
              <w:t>Value</w:t>
            </w:r>
          </w:p>
        </w:tc>
        <w:tc>
          <w:tcPr>
            <w:tcW w:type="dxa" w:w="4688"/>
            <w:vAlign w:val="center"/>
            <w:tcMar>
              <w:top w:w="70" w:type="dxa"/>
              <w:start w:w="85" w:type="dxa"/>
              <w:bottom w:w="70" w:type="dxa"/>
              <w:end w:w="85" w:type="dxa"/>
            </w:tcMar>
            <w:shd w:fill="17365D"/>
          </w:tcPr>
          <w:p>
            <w:pPr>
              <w:spacing w:after="0" w:before="0"/>
            </w:pPr>
            <w:r>
              <w:rPr>
                <w:b/>
                <w:color w:val="FFFFFF"/>
                <w:sz w:val="17"/>
              </w:rPr>
              <w:t>Unit / meaning</w:t>
            </w:r>
          </w:p>
        </w:tc>
      </w:tr>
      <w:tr>
        <w:tc>
          <w:tcPr>
            <w:tcW w:type="dxa" w:w="3988"/>
            <w:vAlign w:val="center"/>
            <w:tcMar>
              <w:top w:w="70" w:type="dxa"/>
              <w:start w:w="85" w:type="dxa"/>
              <w:bottom w:w="70" w:type="dxa"/>
              <w:end w:w="85" w:type="dxa"/>
            </w:tcMar>
          </w:tcPr>
          <w:p>
            <w:pPr>
              <w:spacing w:after="0" w:before="0"/>
            </w:pPr>
            <w:r>
              <w:rPr>
                <w:sz w:val="17"/>
              </w:rPr>
              <w:t>Recorded content per course</w:t>
            </w:r>
          </w:p>
        </w:tc>
        <w:tc>
          <w:tcPr>
            <w:tcW w:type="dxa" w:w="1490"/>
            <w:vAlign w:val="center"/>
            <w:tcMar>
              <w:top w:w="70" w:type="dxa"/>
              <w:start w:w="85" w:type="dxa"/>
              <w:bottom w:w="70" w:type="dxa"/>
              <w:end w:w="85" w:type="dxa"/>
            </w:tcMar>
          </w:tcPr>
          <w:p>
            <w:pPr>
              <w:spacing w:after="0" w:before="0"/>
            </w:pPr>
            <w:r>
              <w:rPr>
                <w:sz w:val="17"/>
              </w:rPr>
              <w:t>12</w:t>
            </w:r>
          </w:p>
        </w:tc>
        <w:tc>
          <w:tcPr>
            <w:tcW w:type="dxa" w:w="4688"/>
            <w:vAlign w:val="center"/>
            <w:tcMar>
              <w:top w:w="70" w:type="dxa"/>
              <w:start w:w="85" w:type="dxa"/>
              <w:bottom w:w="70" w:type="dxa"/>
              <w:end w:w="85" w:type="dxa"/>
            </w:tcMar>
          </w:tcPr>
          <w:p>
            <w:pPr>
              <w:spacing w:after="0" w:before="0"/>
            </w:pPr>
            <w:r>
              <w:rPr>
                <w:sz w:val="17"/>
              </w:rPr>
              <w:t>content-hours</w:t>
            </w:r>
          </w:p>
        </w:tc>
      </w:tr>
      <w:tr>
        <w:tc>
          <w:tcPr>
            <w:tcW w:type="dxa" w:w="3988"/>
            <w:vAlign w:val="center"/>
            <w:tcMar>
              <w:top w:w="70" w:type="dxa"/>
              <w:start w:w="85" w:type="dxa"/>
              <w:bottom w:w="70" w:type="dxa"/>
              <w:end w:w="85" w:type="dxa"/>
            </w:tcMar>
            <w:shd w:fill="F4F7FA"/>
          </w:tcPr>
          <w:p>
            <w:pPr>
              <w:spacing w:after="0" w:before="0"/>
            </w:pPr>
            <w:r>
              <w:rPr>
                <w:sz w:val="17"/>
              </w:rPr>
              <w:t>Recording and editing effort rate</w:t>
            </w:r>
          </w:p>
        </w:tc>
        <w:tc>
          <w:tcPr>
            <w:tcW w:type="dxa" w:w="1490"/>
            <w:vAlign w:val="center"/>
            <w:tcMar>
              <w:top w:w="70" w:type="dxa"/>
              <w:start w:w="85" w:type="dxa"/>
              <w:bottom w:w="70" w:type="dxa"/>
              <w:end w:w="85" w:type="dxa"/>
            </w:tcMar>
            <w:shd w:fill="F4F7FA"/>
          </w:tcPr>
          <w:p>
            <w:pPr>
              <w:spacing w:after="0" w:before="0"/>
            </w:pPr>
            <w:r>
              <w:rPr>
                <w:sz w:val="17"/>
              </w:rPr>
              <w:t>3</w:t>
            </w:r>
          </w:p>
        </w:tc>
        <w:tc>
          <w:tcPr>
            <w:tcW w:type="dxa" w:w="4688"/>
            <w:vAlign w:val="center"/>
            <w:tcMar>
              <w:top w:w="70" w:type="dxa"/>
              <w:start w:w="85" w:type="dxa"/>
              <w:bottom w:w="70" w:type="dxa"/>
              <w:end w:w="85" w:type="dxa"/>
            </w:tcMar>
            <w:shd w:fill="F4F7FA"/>
          </w:tcPr>
          <w:p>
            <w:pPr>
              <w:spacing w:after="0" w:before="0"/>
            </w:pPr>
            <w:r>
              <w:rPr>
                <w:sz w:val="17"/>
              </w:rPr>
              <w:t>work-hours per content-hour</w:t>
            </w:r>
          </w:p>
        </w:tc>
      </w:tr>
      <w:tr>
        <w:tc>
          <w:tcPr>
            <w:tcW w:type="dxa" w:w="3988"/>
            <w:vAlign w:val="center"/>
            <w:tcMar>
              <w:top w:w="70" w:type="dxa"/>
              <w:start w:w="85" w:type="dxa"/>
              <w:bottom w:w="70" w:type="dxa"/>
              <w:end w:w="85" w:type="dxa"/>
            </w:tcMar>
          </w:tcPr>
          <w:p>
            <w:pPr>
              <w:spacing w:after="0" w:before="0"/>
            </w:pPr>
            <w:r>
              <w:rPr>
                <w:sz w:val="17"/>
              </w:rPr>
              <w:t>Editors</w:t>
            </w:r>
          </w:p>
        </w:tc>
        <w:tc>
          <w:tcPr>
            <w:tcW w:type="dxa" w:w="1490"/>
            <w:vAlign w:val="center"/>
            <w:tcMar>
              <w:top w:w="70" w:type="dxa"/>
              <w:start w:w="85" w:type="dxa"/>
              <w:bottom w:w="70" w:type="dxa"/>
              <w:end w:w="85" w:type="dxa"/>
            </w:tcMar>
          </w:tcPr>
          <w:p>
            <w:pPr>
              <w:spacing w:after="0" w:before="0"/>
            </w:pPr>
            <w:r>
              <w:rPr>
                <w:sz w:val="17"/>
              </w:rPr>
              <w:t>2</w:t>
            </w:r>
          </w:p>
        </w:tc>
        <w:tc>
          <w:tcPr>
            <w:tcW w:type="dxa" w:w="4688"/>
            <w:vAlign w:val="center"/>
            <w:tcMar>
              <w:top w:w="70" w:type="dxa"/>
              <w:start w:w="85" w:type="dxa"/>
              <w:bottom w:w="70" w:type="dxa"/>
              <w:end w:w="85" w:type="dxa"/>
            </w:tcMar>
          </w:tcPr>
          <w:p>
            <w:pPr>
              <w:spacing w:after="0" w:before="0"/>
            </w:pPr>
            <w:r>
              <w:rPr>
                <w:sz w:val="17"/>
              </w:rPr>
              <w:t>people</w:t>
            </w:r>
          </w:p>
        </w:tc>
      </w:tr>
      <w:tr>
        <w:tc>
          <w:tcPr>
            <w:tcW w:type="dxa" w:w="3988"/>
            <w:vAlign w:val="center"/>
            <w:tcMar>
              <w:top w:w="70" w:type="dxa"/>
              <w:start w:w="85" w:type="dxa"/>
              <w:bottom w:w="70" w:type="dxa"/>
              <w:end w:w="85" w:type="dxa"/>
            </w:tcMar>
            <w:shd w:fill="F4F7FA"/>
          </w:tcPr>
          <w:p>
            <w:pPr>
              <w:spacing w:after="0" w:before="0"/>
            </w:pPr>
            <w:r>
              <w:rPr>
                <w:sz w:val="17"/>
              </w:rPr>
              <w:t>Availability per editor</w:t>
            </w:r>
          </w:p>
        </w:tc>
        <w:tc>
          <w:tcPr>
            <w:tcW w:type="dxa" w:w="1490"/>
            <w:vAlign w:val="center"/>
            <w:tcMar>
              <w:top w:w="70" w:type="dxa"/>
              <w:start w:w="85" w:type="dxa"/>
              <w:bottom w:w="70" w:type="dxa"/>
              <w:end w:w="85" w:type="dxa"/>
            </w:tcMar>
            <w:shd w:fill="F4F7FA"/>
          </w:tcPr>
          <w:p>
            <w:pPr>
              <w:spacing w:after="0" w:before="0"/>
            </w:pPr>
            <w:r>
              <w:rPr>
                <w:sz w:val="17"/>
              </w:rPr>
              <w:t>30</w:t>
            </w:r>
          </w:p>
        </w:tc>
        <w:tc>
          <w:tcPr>
            <w:tcW w:type="dxa" w:w="4688"/>
            <w:vAlign w:val="center"/>
            <w:tcMar>
              <w:top w:w="70" w:type="dxa"/>
              <w:start w:w="85" w:type="dxa"/>
              <w:bottom w:w="70" w:type="dxa"/>
              <w:end w:w="85" w:type="dxa"/>
            </w:tcMar>
            <w:shd w:fill="F4F7FA"/>
          </w:tcPr>
          <w:p>
            <w:pPr>
              <w:spacing w:after="0" w:before="0"/>
            </w:pPr>
            <w:r>
              <w:rPr>
                <w:sz w:val="17"/>
              </w:rPr>
              <w:t>work-hours per week</w:t>
            </w:r>
          </w:p>
        </w:tc>
      </w:tr>
      <w:tr>
        <w:tc>
          <w:tcPr>
            <w:tcW w:type="dxa" w:w="3988"/>
            <w:vAlign w:val="center"/>
            <w:tcMar>
              <w:top w:w="70" w:type="dxa"/>
              <w:start w:w="85" w:type="dxa"/>
              <w:bottom w:w="70" w:type="dxa"/>
              <w:end w:w="85" w:type="dxa"/>
            </w:tcMar>
          </w:tcPr>
          <w:p>
            <w:pPr>
              <w:spacing w:after="0" w:before="0"/>
            </w:pPr>
            <w:r>
              <w:rPr>
                <w:sz w:val="17"/>
              </w:rPr>
              <w:t>Revenue per enrolment</w:t>
            </w:r>
          </w:p>
        </w:tc>
        <w:tc>
          <w:tcPr>
            <w:tcW w:type="dxa" w:w="1490"/>
            <w:vAlign w:val="center"/>
            <w:tcMar>
              <w:top w:w="70" w:type="dxa"/>
              <w:start w:w="85" w:type="dxa"/>
              <w:bottom w:w="70" w:type="dxa"/>
              <w:end w:w="85" w:type="dxa"/>
            </w:tcMar>
          </w:tcPr>
          <w:p>
            <w:pPr>
              <w:spacing w:after="0" w:before="0"/>
            </w:pPr>
            <w:r>
              <w:rPr>
                <w:sz w:val="17"/>
              </w:rPr>
              <w:t>₹4,500</w:t>
            </w:r>
          </w:p>
        </w:tc>
        <w:tc>
          <w:tcPr>
            <w:tcW w:type="dxa" w:w="4688"/>
            <w:vAlign w:val="center"/>
            <w:tcMar>
              <w:top w:w="70" w:type="dxa"/>
              <w:start w:w="85" w:type="dxa"/>
              <w:bottom w:w="70" w:type="dxa"/>
              <w:end w:w="85" w:type="dxa"/>
            </w:tcMar>
          </w:tcPr>
          <w:p>
            <w:pPr>
              <w:spacing w:after="0" w:before="0"/>
            </w:pPr>
            <w:r>
              <w:rPr>
                <w:sz w:val="17"/>
              </w:rPr>
              <w:t>gross planning revenue per enrolment</w:t>
            </w:r>
          </w:p>
        </w:tc>
      </w:tr>
      <w:tr>
        <w:tc>
          <w:tcPr>
            <w:tcW w:type="dxa" w:w="3988"/>
            <w:vAlign w:val="center"/>
            <w:tcMar>
              <w:top w:w="70" w:type="dxa"/>
              <w:start w:w="85" w:type="dxa"/>
              <w:bottom w:w="70" w:type="dxa"/>
              <w:end w:w="85" w:type="dxa"/>
            </w:tcMar>
            <w:shd w:fill="F4F7FA"/>
          </w:tcPr>
          <w:p>
            <w:pPr>
              <w:spacing w:after="0" w:before="0"/>
            </w:pPr>
            <w:r>
              <w:rPr>
                <w:sz w:val="17"/>
              </w:rPr>
              <w:t>Target enrolments</w:t>
            </w:r>
          </w:p>
        </w:tc>
        <w:tc>
          <w:tcPr>
            <w:tcW w:type="dxa" w:w="1490"/>
            <w:vAlign w:val="center"/>
            <w:tcMar>
              <w:top w:w="70" w:type="dxa"/>
              <w:start w:w="85" w:type="dxa"/>
              <w:bottom w:w="70" w:type="dxa"/>
              <w:end w:w="85" w:type="dxa"/>
            </w:tcMar>
            <w:shd w:fill="F4F7FA"/>
          </w:tcPr>
          <w:p>
            <w:pPr>
              <w:spacing w:after="0" w:before="0"/>
            </w:pPr>
            <w:r>
              <w:rPr>
                <w:sz w:val="17"/>
              </w:rPr>
              <w:t>150</w:t>
            </w:r>
          </w:p>
        </w:tc>
        <w:tc>
          <w:tcPr>
            <w:tcW w:type="dxa" w:w="4688"/>
            <w:vAlign w:val="center"/>
            <w:tcMar>
              <w:top w:w="70" w:type="dxa"/>
              <w:start w:w="85" w:type="dxa"/>
              <w:bottom w:w="70" w:type="dxa"/>
              <w:end w:w="85" w:type="dxa"/>
            </w:tcMar>
            <w:shd w:fill="F4F7FA"/>
          </w:tcPr>
          <w:p>
            <w:pPr>
              <w:spacing w:after="0" w:before="0"/>
            </w:pPr>
            <w:r>
              <w:rPr>
                <w:sz w:val="17"/>
              </w:rPr>
              <w:t>enrolments per course in year one</w:t>
            </w:r>
          </w:p>
        </w:tc>
      </w:tr>
      <w:tr>
        <w:tc>
          <w:tcPr>
            <w:tcW w:type="dxa" w:w="3988"/>
            <w:vAlign w:val="center"/>
            <w:tcMar>
              <w:top w:w="70" w:type="dxa"/>
              <w:start w:w="85" w:type="dxa"/>
              <w:bottom w:w="70" w:type="dxa"/>
              <w:end w:w="85" w:type="dxa"/>
            </w:tcMar>
          </w:tcPr>
          <w:p>
            <w:pPr>
              <w:spacing w:after="0" w:before="0"/>
            </w:pPr>
            <w:r>
              <w:rPr>
                <w:sz w:val="17"/>
              </w:rPr>
              <w:t>Faculty recording capacity</w:t>
            </w:r>
          </w:p>
        </w:tc>
        <w:tc>
          <w:tcPr>
            <w:tcW w:type="dxa" w:w="1490"/>
            <w:vAlign w:val="center"/>
            <w:tcMar>
              <w:top w:w="70" w:type="dxa"/>
              <w:start w:w="85" w:type="dxa"/>
              <w:bottom w:w="70" w:type="dxa"/>
              <w:end w:w="85" w:type="dxa"/>
            </w:tcMar>
          </w:tcPr>
          <w:p>
            <w:pPr>
              <w:spacing w:after="0" w:before="0"/>
            </w:pPr>
            <w:r>
              <w:rPr>
                <w:sz w:val="17"/>
              </w:rPr>
              <w:t>8</w:t>
            </w:r>
          </w:p>
        </w:tc>
        <w:tc>
          <w:tcPr>
            <w:tcW w:type="dxa" w:w="4688"/>
            <w:vAlign w:val="center"/>
            <w:tcMar>
              <w:top w:w="70" w:type="dxa"/>
              <w:start w:w="85" w:type="dxa"/>
              <w:bottom w:w="70" w:type="dxa"/>
              <w:end w:w="85" w:type="dxa"/>
            </w:tcMar>
          </w:tcPr>
          <w:p>
            <w:pPr>
              <w:spacing w:after="0" w:before="0"/>
            </w:pPr>
            <w:r>
              <w:rPr>
                <w:sz w:val="17"/>
              </w:rPr>
              <w:t>courses within the next 3 months</w:t>
            </w:r>
          </w:p>
        </w:tc>
      </w:tr>
      <w:tr>
        <w:tc>
          <w:tcPr>
            <w:tcW w:type="dxa" w:w="3988"/>
            <w:vAlign w:val="center"/>
            <w:tcMar>
              <w:top w:w="70" w:type="dxa"/>
              <w:start w:w="85" w:type="dxa"/>
              <w:bottom w:w="70" w:type="dxa"/>
              <w:end w:w="85" w:type="dxa"/>
            </w:tcMar>
            <w:shd w:fill="F4F7FA"/>
          </w:tcPr>
          <w:p>
            <w:pPr>
              <w:spacing w:after="0" w:before="0"/>
            </w:pPr>
            <w:r>
              <w:rPr>
                <w:sz w:val="17"/>
              </w:rPr>
              <w:t>Platform readiness</w:t>
            </w:r>
          </w:p>
        </w:tc>
        <w:tc>
          <w:tcPr>
            <w:tcW w:type="dxa" w:w="1490"/>
            <w:vAlign w:val="center"/>
            <w:tcMar>
              <w:top w:w="70" w:type="dxa"/>
              <w:start w:w="85" w:type="dxa"/>
              <w:bottom w:w="70" w:type="dxa"/>
              <w:end w:w="85" w:type="dxa"/>
            </w:tcMar>
            <w:shd w:fill="F4F7FA"/>
          </w:tcPr>
          <w:p>
            <w:pPr>
              <w:spacing w:after="0" w:before="0"/>
            </w:pPr>
            <w:r>
              <w:rPr>
                <w:sz w:val="17"/>
              </w:rPr>
              <w:t>10</w:t>
            </w:r>
          </w:p>
        </w:tc>
        <w:tc>
          <w:tcPr>
            <w:tcW w:type="dxa" w:w="4688"/>
            <w:vAlign w:val="center"/>
            <w:tcMar>
              <w:top w:w="70" w:type="dxa"/>
              <w:start w:w="85" w:type="dxa"/>
              <w:bottom w:w="70" w:type="dxa"/>
              <w:end w:w="85" w:type="dxa"/>
            </w:tcMar>
            <w:shd w:fill="F4F7FA"/>
          </w:tcPr>
          <w:p>
            <w:pPr>
              <w:spacing w:after="0" w:before="0"/>
            </w:pPr>
            <w:r>
              <w:rPr>
                <w:sz w:val="17"/>
              </w:rPr>
              <w:t>weeks (separate from content production)</w:t>
            </w:r>
          </w:p>
        </w:tc>
      </w:tr>
    </w:tbl>
    <w:p>
      <w:pPr>
        <w:spacing w:after="20"/>
      </w:pPr>
    </w:p>
    <w:p>
      <w:r>
        <w:t>These calculations use only the case figures. No extra enrolments, production capacity, or contingency has been assumed.</w:t>
      </w:r>
    </w:p>
    <w:p>
      <w:pPr>
        <w:pStyle w:val="Heading2"/>
      </w:pPr>
      <w:r>
        <w:rPr>
          <w:sz w:val="26"/>
        </w:rPr>
        <w:t>2. Formulae</w:t>
      </w:r>
    </w:p>
    <w:p>
      <w:pPr>
        <w:pStyle w:val="ListBullet"/>
      </w:pPr>
      <w:r>
        <w:rPr>
          <w:b/>
          <w:sz w:val="18"/>
        </w:rPr>
        <w:t>Production effort per course</w:t>
      </w:r>
      <w:r>
        <w:rPr>
          <w:sz w:val="18"/>
        </w:rPr>
        <w:t xml:space="preserve"> = content-hours per course × work-hours per content-hour.</w:t>
      </w:r>
    </w:p>
    <w:p>
      <w:pPr>
        <w:pStyle w:val="ListBullet"/>
      </w:pPr>
      <w:r>
        <w:rPr>
          <w:b/>
          <w:sz w:val="18"/>
        </w:rPr>
        <w:t>Production effort for N courses</w:t>
      </w:r>
      <w:r>
        <w:rPr>
          <w:sz w:val="18"/>
        </w:rPr>
        <w:t xml:space="preserve"> = effort per course × N.</w:t>
      </w:r>
    </w:p>
    <w:p>
      <w:pPr>
        <w:pStyle w:val="ListBullet"/>
      </w:pPr>
      <w:r>
        <w:rPr>
          <w:b/>
          <w:sz w:val="18"/>
        </w:rPr>
        <w:t>Weekly editor capacity</w:t>
      </w:r>
      <w:r>
        <w:rPr>
          <w:sz w:val="18"/>
        </w:rPr>
        <w:t xml:space="preserve"> = number of editors × hours/editor/week.</w:t>
      </w:r>
    </w:p>
    <w:p>
      <w:pPr>
        <w:pStyle w:val="ListBullet"/>
      </w:pPr>
      <w:r>
        <w:rPr>
          <w:b/>
          <w:sz w:val="18"/>
        </w:rPr>
        <w:t>Editor-capacity duration</w:t>
      </w:r>
      <w:r>
        <w:rPr>
          <w:sz w:val="18"/>
        </w:rPr>
        <w:t xml:space="preserve"> = total production effort ÷ weekly editor capacity.</w:t>
      </w:r>
    </w:p>
    <w:p>
      <w:pPr>
        <w:pStyle w:val="ListBullet"/>
      </w:pPr>
      <w:r>
        <w:rPr>
          <w:b/>
          <w:sz w:val="18"/>
        </w:rPr>
        <w:t>Year-one gross revenue scenario</w:t>
      </w:r>
      <w:r>
        <w:rPr>
          <w:sz w:val="18"/>
        </w:rPr>
        <w:t xml:space="preserve"> = courses × target enrolments/course × revenue/enrolment.</w:t>
      </w:r>
    </w:p>
    <w:p>
      <w:pPr>
        <w:pStyle w:val="Heading2"/>
      </w:pPr>
      <w:r>
        <w:rPr>
          <w:sz w:val="26"/>
        </w:rPr>
        <w:t>3. Step-by-step production effort</w:t>
      </w:r>
    </w:p>
    <w:p>
      <w:pPr>
        <w:pStyle w:val="Heading3"/>
      </w:pPr>
      <w:r>
        <w:rPr>
          <w:sz w:val="21"/>
        </w:rPr>
        <w:t>Per course</w:t>
      </w:r>
    </w:p>
    <w:p>
      <w:r>
        <w:rPr>
          <w:rFonts w:ascii="Consolas" w:hAnsi="Consolas"/>
          <w:color w:val="1F4E78"/>
          <w:sz w:val="18"/>
        </w:rPr>
        <w:t>12 content-hours/course × 3 work-hours/content-hour = 36 work-hours/course</w:t>
      </w:r>
    </w:p>
    <w:p>
      <w:pPr>
        <w:spacing w:after="60"/>
      </w:pPr>
      <w:r>
        <w:rPr>
          <w:b/>
          <w:sz w:val="18"/>
        </w:rPr>
        <w:t>Estimated production effort: 36 work-hours per course.</w:t>
      </w:r>
      <w:r>
        <w:rPr>
          <w:sz w:val="18"/>
        </w:rPr>
        <w:t xml:space="preserve"> This includes the combined recording-and-editing rate as specified in the brief; it is not 36 hours of editing alone.</w:t>
      </w:r>
    </w:p>
    <w:p>
      <w:pPr>
        <w:pStyle w:val="Heading3"/>
      </w:pPr>
      <w:r>
        <w:rPr>
          <w:sz w:val="21"/>
        </w:rPr>
        <w:t>8-course cohort</w:t>
      </w:r>
    </w:p>
    <w:p>
      <w:r>
        <w:rPr>
          <w:rFonts w:ascii="Consolas" w:hAnsi="Consolas"/>
          <w:color w:val="1F4E78"/>
          <w:sz w:val="18"/>
        </w:rPr>
        <w:t>36 work-hours/course × 8 courses = 288 work-hours</w:t>
      </w:r>
    </w:p>
    <w:p>
      <w:pPr>
        <w:spacing w:after="60"/>
      </w:pPr>
      <w:r>
        <w:rPr>
          <w:b/>
          <w:sz w:val="18"/>
        </w:rPr>
        <w:t>Estimated total: 288 work-hours.</w:t>
      </w:r>
    </w:p>
    <w:p>
      <w:pPr>
        <w:pStyle w:val="Heading3"/>
      </w:pPr>
      <w:r>
        <w:rPr>
          <w:sz w:val="21"/>
        </w:rPr>
        <w:t>30-course target</w:t>
      </w:r>
    </w:p>
    <w:p>
      <w:r>
        <w:rPr>
          <w:rFonts w:ascii="Consolas" w:hAnsi="Consolas"/>
          <w:color w:val="1F4E78"/>
          <w:sz w:val="18"/>
        </w:rPr>
        <w:t>36 work-hours/course × 30 courses = 1,080 work-hours</w:t>
      </w:r>
    </w:p>
    <w:p>
      <w:pPr>
        <w:spacing w:after="60"/>
      </w:pPr>
      <w:r>
        <w:rPr>
          <w:b/>
          <w:sz w:val="18"/>
        </w:rPr>
        <w:t>Estimated total: 1,080 work-hours.</w:t>
      </w:r>
    </w:p>
    <w:p>
      <w:pPr>
        <w:pStyle w:val="Heading2"/>
      </w:pPr>
      <w:r>
        <w:rPr>
          <w:sz w:val="26"/>
        </w:rPr>
        <w:t>4. Step-by-step editor-capacity duration</w:t>
      </w:r>
    </w:p>
    <w:p>
      <w:pPr>
        <w:pStyle w:val="Heading3"/>
      </w:pPr>
      <w:r>
        <w:rPr>
          <w:sz w:val="21"/>
        </w:rPr>
        <w:t>Weekly available capacity</w:t>
      </w:r>
    </w:p>
    <w:p>
      <w:r>
        <w:rPr>
          <w:rFonts w:ascii="Consolas" w:hAnsi="Consolas"/>
          <w:color w:val="1F4E78"/>
          <w:sz w:val="18"/>
        </w:rPr>
        <w:t>2 editors × 30 hours/editor/week = 60 editor-hours/week</w:t>
      </w:r>
    </w:p>
    <w:p>
      <w:pPr>
        <w:pStyle w:val="Heading3"/>
      </w:pPr>
      <w:r>
        <w:rPr>
          <w:sz w:val="21"/>
        </w:rPr>
        <w:t>8 courses</w:t>
      </w:r>
    </w:p>
    <w:p>
      <w:r>
        <w:rPr>
          <w:rFonts w:ascii="Consolas" w:hAnsi="Consolas"/>
          <w:color w:val="1F4E78"/>
          <w:sz w:val="18"/>
        </w:rPr>
        <w:t>288 work-hours ÷ 60 editor-hours/week = 4.8 weeks</w:t>
      </w:r>
    </w:p>
    <w:p>
      <w:pPr>
        <w:spacing w:after="60"/>
      </w:pPr>
      <w:r>
        <w:rPr>
          <w:b/>
          <w:sz w:val="18"/>
        </w:rPr>
        <w:t>Editor-capacity duration: 4.8 weeks</w:t>
      </w:r>
      <w:r>
        <w:rPr>
          <w:sz w:val="18"/>
        </w:rPr>
        <w:t xml:space="preserve"> at full stated editor utilisation, assuming inputs are ready, work can be allocated without interruption, and all stated production effort can be performed by the editor pool.</w:t>
      </w:r>
    </w:p>
    <w:p>
      <w:pPr>
        <w:pStyle w:val="Heading3"/>
      </w:pPr>
      <w:r>
        <w:rPr>
          <w:sz w:val="21"/>
        </w:rPr>
        <w:t>30 courses</w:t>
      </w:r>
    </w:p>
    <w:p>
      <w:r>
        <w:rPr>
          <w:rFonts w:ascii="Consolas" w:hAnsi="Consolas"/>
          <w:color w:val="1F4E78"/>
          <w:sz w:val="18"/>
        </w:rPr>
        <w:t>1,080 work-hours ÷ 60 editor-hours/week = 18 weeks</w:t>
      </w:r>
    </w:p>
    <w:p>
      <w:pPr>
        <w:spacing w:after="60"/>
      </w:pPr>
      <w:r>
        <w:rPr>
          <w:b/>
          <w:sz w:val="18"/>
        </w:rPr>
        <w:t>Editor-capacity duration: 18 weeks</w:t>
      </w:r>
      <w:r>
        <w:rPr>
          <w:sz w:val="18"/>
        </w:rPr>
        <w:t xml:space="preserve"> under the same assumptions. This is an editor-capacity lower-bound style calculation once content is available; it does not solve the faculty recording bottleneck. The brief only supports 8 recordings in the next 3 months, so the remaining 22-course recording schedule is unknown.</w:t>
      </w:r>
    </w:p>
    <w:p>
      <w:pPr>
        <w:pStyle w:val="Heading2"/>
      </w:pPr>
      <w:r>
        <w:rPr>
          <w:sz w:val="26"/>
        </w:rPr>
        <w:t>5. Year-one revenue scenario</w:t>
      </w:r>
    </w:p>
    <w:p>
      <w:pPr>
        <w:pStyle w:val="Heading3"/>
      </w:pPr>
      <w:r>
        <w:rPr>
          <w:sz w:val="21"/>
        </w:rPr>
        <w:t>Revenue per course at the stated target</w:t>
      </w:r>
    </w:p>
    <w:p>
      <w:r>
        <w:rPr>
          <w:rFonts w:ascii="Consolas" w:hAnsi="Consolas"/>
          <w:color w:val="1F4E78"/>
          <w:sz w:val="18"/>
        </w:rPr>
        <w:t>₹4,500/enrolment × 150 enrolments/course = ₹675,000 per course</w:t>
      </w:r>
    </w:p>
    <w:p>
      <w:pPr>
        <w:pStyle w:val="Heading3"/>
      </w:pPr>
      <w:r>
        <w:rPr>
          <w:sz w:val="21"/>
        </w:rPr>
        <w:t>8 courses</w:t>
      </w:r>
    </w:p>
    <w:p>
      <w:r>
        <w:rPr>
          <w:rFonts w:ascii="Consolas" w:hAnsi="Consolas"/>
          <w:color w:val="1F4E78"/>
          <w:sz w:val="18"/>
        </w:rPr>
        <w:t>₹675,000/course × 8 courses = ₹5,400,000</w:t>
      </w:r>
    </w:p>
    <w:p>
      <w:pPr>
        <w:spacing w:after="60"/>
      </w:pPr>
      <w:r>
        <w:rPr>
          <w:b/>
          <w:sz w:val="18"/>
        </w:rPr>
        <w:t>Scenario gross revenue for 8 courses: ₹5,400,000 (₹54 lakh).</w:t>
      </w:r>
    </w:p>
    <w:p>
      <w:pPr>
        <w:pStyle w:val="Heading3"/>
      </w:pPr>
      <w:r>
        <w:rPr>
          <w:sz w:val="21"/>
        </w:rPr>
        <w:t>30 courses</w:t>
      </w:r>
    </w:p>
    <w:p>
      <w:r>
        <w:rPr>
          <w:rFonts w:ascii="Consolas" w:hAnsi="Consolas"/>
          <w:color w:val="1F4E78"/>
          <w:sz w:val="18"/>
        </w:rPr>
        <w:t>₹675,000/course × 30 courses = ₹20,250,000</w:t>
      </w:r>
    </w:p>
    <w:p>
      <w:pPr>
        <w:spacing w:after="60"/>
      </w:pPr>
      <w:r>
        <w:rPr>
          <w:b/>
          <w:sz w:val="18"/>
        </w:rPr>
        <w:t>Scenario gross revenue for 30 courses: ₹20,250,000 (₹2.025 crore).</w:t>
      </w:r>
    </w:p>
    <w:p>
      <w:r>
        <w:rPr>
          <w:sz w:val="19"/>
        </w:rPr>
        <w:t>These figures are gross scenario arithmetic only. They assume every course reaches the stated 150-enrolment target and every enrolment yields ₹4,500. They exclude refunds, discounts, taxes, payment charges, operating costs, timing, and other financial adjustments because none were specified. They are not a forecast or guarantee.</w:t>
      </w:r>
    </w:p>
    <w:p>
      <w:pPr>
        <w:pStyle w:val="Heading2"/>
      </w:pPr>
      <w:r>
        <w:rPr>
          <w:sz w:val="26"/>
        </w:rPr>
        <w:t>6. Consolidated estimate</w:t>
      </w:r>
    </w:p>
    <w:tbl>
      <w:tblPr>
        <w:tblStyle w:val="TableGrid"/>
        <w:tblW w:type="auto" w:w="0"/>
        <w:jc w:val="center"/>
        <w:tblLayout w:type="fixed"/>
        <w:tblLook w:firstColumn="1" w:firstRow="1" w:lastColumn="0" w:lastRow="0" w:noHBand="0" w:noVBand="1" w:val="04A0"/>
      </w:tblPr>
      <w:tblGrid>
        <w:gridCol w:w="1349"/>
        <w:gridCol w:w="1744"/>
        <w:gridCol w:w="2139"/>
        <w:gridCol w:w="2533"/>
        <w:gridCol w:w="2402"/>
      </w:tblGrid>
      <w:tr>
        <w:trPr>
          <w:tblHeader w:val="true"/>
        </w:trPr>
        <w:tc>
          <w:tcPr>
            <w:tcW w:type="dxa" w:w="1349"/>
            <w:vAlign w:val="center"/>
            <w:tcMar>
              <w:top w:w="70" w:type="dxa"/>
              <w:start w:w="85" w:type="dxa"/>
              <w:bottom w:w="70" w:type="dxa"/>
              <w:end w:w="85" w:type="dxa"/>
            </w:tcMar>
            <w:shd w:fill="17365D"/>
          </w:tcPr>
          <w:p>
            <w:pPr>
              <w:spacing w:after="0" w:before="0"/>
            </w:pPr>
            <w:r>
              <w:rPr>
                <w:b/>
                <w:color w:val="FFFFFF"/>
                <w:sz w:val="16"/>
              </w:rPr>
              <w:t>Scenario</w:t>
            </w:r>
          </w:p>
        </w:tc>
        <w:tc>
          <w:tcPr>
            <w:tcW w:type="dxa" w:w="1744"/>
            <w:vAlign w:val="center"/>
            <w:tcMar>
              <w:top w:w="70" w:type="dxa"/>
              <w:start w:w="85" w:type="dxa"/>
              <w:bottom w:w="70" w:type="dxa"/>
              <w:end w:w="85" w:type="dxa"/>
            </w:tcMar>
            <w:shd w:fill="17365D"/>
          </w:tcPr>
          <w:p>
            <w:pPr>
              <w:spacing w:after="0" w:before="0"/>
            </w:pPr>
            <w:r>
              <w:rPr>
                <w:b/>
                <w:color w:val="FFFFFF"/>
                <w:sz w:val="16"/>
              </w:rPr>
              <w:t>Content effort</w:t>
            </w:r>
          </w:p>
        </w:tc>
        <w:tc>
          <w:tcPr>
            <w:tcW w:type="dxa" w:w="2139"/>
            <w:vAlign w:val="center"/>
            <w:tcMar>
              <w:top w:w="70" w:type="dxa"/>
              <w:start w:w="85" w:type="dxa"/>
              <w:bottom w:w="70" w:type="dxa"/>
              <w:end w:w="85" w:type="dxa"/>
            </w:tcMar>
            <w:shd w:fill="17365D"/>
          </w:tcPr>
          <w:p>
            <w:pPr>
              <w:spacing w:after="0" w:before="0"/>
            </w:pPr>
            <w:r>
              <w:rPr>
                <w:b/>
                <w:color w:val="FFFFFF"/>
                <w:sz w:val="16"/>
              </w:rPr>
              <w:t>Weekly editor capacity</w:t>
            </w:r>
          </w:p>
        </w:tc>
        <w:tc>
          <w:tcPr>
            <w:tcW w:type="dxa" w:w="2533"/>
            <w:vAlign w:val="center"/>
            <w:tcMar>
              <w:top w:w="70" w:type="dxa"/>
              <w:start w:w="85" w:type="dxa"/>
              <w:bottom w:w="70" w:type="dxa"/>
              <w:end w:w="85" w:type="dxa"/>
            </w:tcMar>
            <w:shd w:fill="17365D"/>
          </w:tcPr>
          <w:p>
            <w:pPr>
              <w:spacing w:after="0" w:before="0"/>
            </w:pPr>
            <w:r>
              <w:rPr>
                <w:b/>
                <w:color w:val="FFFFFF"/>
                <w:sz w:val="16"/>
              </w:rPr>
              <w:t>Editor-capacity duration</w:t>
            </w:r>
          </w:p>
        </w:tc>
        <w:tc>
          <w:tcPr>
            <w:tcW w:type="dxa" w:w="2402"/>
            <w:vAlign w:val="center"/>
            <w:tcMar>
              <w:top w:w="70" w:type="dxa"/>
              <w:start w:w="85" w:type="dxa"/>
              <w:bottom w:w="70" w:type="dxa"/>
              <w:end w:w="85" w:type="dxa"/>
            </w:tcMar>
            <w:shd w:fill="17365D"/>
          </w:tcPr>
          <w:p>
            <w:pPr>
              <w:spacing w:after="0" w:before="0"/>
            </w:pPr>
            <w:r>
              <w:rPr>
                <w:b/>
                <w:color w:val="FFFFFF"/>
                <w:sz w:val="16"/>
              </w:rPr>
              <w:t>Revenue scenario</w:t>
            </w:r>
          </w:p>
        </w:tc>
      </w:tr>
      <w:tr>
        <w:tc>
          <w:tcPr>
            <w:tcW w:type="dxa" w:w="1349"/>
            <w:vAlign w:val="center"/>
            <w:tcMar>
              <w:top w:w="70" w:type="dxa"/>
              <w:start w:w="85" w:type="dxa"/>
              <w:bottom w:w="70" w:type="dxa"/>
              <w:end w:w="85" w:type="dxa"/>
            </w:tcMar>
          </w:tcPr>
          <w:p>
            <w:pPr>
              <w:spacing w:after="0" w:before="0"/>
            </w:pPr>
            <w:r>
              <w:rPr>
                <w:sz w:val="16"/>
              </w:rPr>
              <w:t>1 course</w:t>
            </w:r>
          </w:p>
        </w:tc>
        <w:tc>
          <w:tcPr>
            <w:tcW w:type="dxa" w:w="1744"/>
            <w:vAlign w:val="center"/>
            <w:tcMar>
              <w:top w:w="70" w:type="dxa"/>
              <w:start w:w="85" w:type="dxa"/>
              <w:bottom w:w="70" w:type="dxa"/>
              <w:end w:w="85" w:type="dxa"/>
            </w:tcMar>
          </w:tcPr>
          <w:p>
            <w:pPr>
              <w:spacing w:after="0" w:before="0"/>
            </w:pPr>
            <w:r>
              <w:rPr>
                <w:sz w:val="16"/>
              </w:rPr>
              <w:t>36 work-hours</w:t>
            </w:r>
          </w:p>
        </w:tc>
        <w:tc>
          <w:tcPr>
            <w:tcW w:type="dxa" w:w="2139"/>
            <w:vAlign w:val="center"/>
            <w:tcMar>
              <w:top w:w="70" w:type="dxa"/>
              <w:start w:w="85" w:type="dxa"/>
              <w:bottom w:w="70" w:type="dxa"/>
              <w:end w:w="85" w:type="dxa"/>
            </w:tcMar>
          </w:tcPr>
          <w:p>
            <w:pPr>
              <w:spacing w:after="0" w:before="0"/>
            </w:pPr>
            <w:r>
              <w:rPr>
                <w:sz w:val="16"/>
              </w:rPr>
              <w:t>60 editor-hours/week</w:t>
            </w:r>
          </w:p>
        </w:tc>
        <w:tc>
          <w:tcPr>
            <w:tcW w:type="dxa" w:w="2533"/>
            <w:vAlign w:val="center"/>
            <w:tcMar>
              <w:top w:w="70" w:type="dxa"/>
              <w:start w:w="85" w:type="dxa"/>
              <w:bottom w:w="70" w:type="dxa"/>
              <w:end w:w="85" w:type="dxa"/>
            </w:tcMar>
          </w:tcPr>
          <w:p>
            <w:pPr>
              <w:spacing w:after="0" w:before="0"/>
            </w:pPr>
            <w:r>
              <w:rPr>
                <w:sz w:val="16"/>
              </w:rPr>
              <w:t>0.6 capacity-weeks (36 ÷ 60)</w:t>
            </w:r>
          </w:p>
        </w:tc>
        <w:tc>
          <w:tcPr>
            <w:tcW w:type="dxa" w:w="2402"/>
            <w:vAlign w:val="center"/>
            <w:tcMar>
              <w:top w:w="70" w:type="dxa"/>
              <w:start w:w="85" w:type="dxa"/>
              <w:bottom w:w="70" w:type="dxa"/>
              <w:end w:w="85" w:type="dxa"/>
            </w:tcMar>
          </w:tcPr>
          <w:p>
            <w:pPr>
              <w:spacing w:after="0" w:before="0"/>
            </w:pPr>
            <w:r>
              <w:rPr>
                <w:sz w:val="16"/>
              </w:rPr>
              <w:t>₹675,000 at 150 enrolments</w:t>
            </w:r>
          </w:p>
        </w:tc>
      </w:tr>
      <w:tr>
        <w:tc>
          <w:tcPr>
            <w:tcW w:type="dxa" w:w="1349"/>
            <w:vAlign w:val="center"/>
            <w:tcMar>
              <w:top w:w="70" w:type="dxa"/>
              <w:start w:w="85" w:type="dxa"/>
              <w:bottom w:w="70" w:type="dxa"/>
              <w:end w:w="85" w:type="dxa"/>
            </w:tcMar>
            <w:shd w:fill="F4F7FA"/>
          </w:tcPr>
          <w:p>
            <w:pPr>
              <w:spacing w:after="0" w:before="0"/>
            </w:pPr>
            <w:r>
              <w:rPr>
                <w:sz w:val="16"/>
              </w:rPr>
              <w:t>8 courses</w:t>
            </w:r>
          </w:p>
        </w:tc>
        <w:tc>
          <w:tcPr>
            <w:tcW w:type="dxa" w:w="1744"/>
            <w:vAlign w:val="center"/>
            <w:tcMar>
              <w:top w:w="70" w:type="dxa"/>
              <w:start w:w="85" w:type="dxa"/>
              <w:bottom w:w="70" w:type="dxa"/>
              <w:end w:w="85" w:type="dxa"/>
            </w:tcMar>
            <w:shd w:fill="F4F7FA"/>
          </w:tcPr>
          <w:p>
            <w:pPr>
              <w:spacing w:after="0" w:before="0"/>
            </w:pPr>
            <w:r>
              <w:rPr>
                <w:sz w:val="16"/>
              </w:rPr>
              <w:t>288 work-hours</w:t>
            </w:r>
          </w:p>
        </w:tc>
        <w:tc>
          <w:tcPr>
            <w:tcW w:type="dxa" w:w="2139"/>
            <w:vAlign w:val="center"/>
            <w:tcMar>
              <w:top w:w="70" w:type="dxa"/>
              <w:start w:w="85" w:type="dxa"/>
              <w:bottom w:w="70" w:type="dxa"/>
              <w:end w:w="85" w:type="dxa"/>
            </w:tcMar>
            <w:shd w:fill="F4F7FA"/>
          </w:tcPr>
          <w:p>
            <w:pPr>
              <w:spacing w:after="0" w:before="0"/>
            </w:pPr>
            <w:r>
              <w:rPr>
                <w:sz w:val="16"/>
              </w:rPr>
              <w:t>60 editor-hours/week</w:t>
            </w:r>
          </w:p>
        </w:tc>
        <w:tc>
          <w:tcPr>
            <w:tcW w:type="dxa" w:w="2533"/>
            <w:vAlign w:val="center"/>
            <w:tcMar>
              <w:top w:w="70" w:type="dxa"/>
              <w:start w:w="85" w:type="dxa"/>
              <w:bottom w:w="70" w:type="dxa"/>
              <w:end w:w="85" w:type="dxa"/>
            </w:tcMar>
            <w:shd w:fill="F4F7FA"/>
          </w:tcPr>
          <w:p>
            <w:pPr>
              <w:spacing w:after="0" w:before="0"/>
            </w:pPr>
            <w:r>
              <w:rPr>
                <w:sz w:val="16"/>
              </w:rPr>
              <w:t>4.8 weeks</w:t>
            </w:r>
          </w:p>
        </w:tc>
        <w:tc>
          <w:tcPr>
            <w:tcW w:type="dxa" w:w="2402"/>
            <w:vAlign w:val="center"/>
            <w:tcMar>
              <w:top w:w="70" w:type="dxa"/>
              <w:start w:w="85" w:type="dxa"/>
              <w:bottom w:w="70" w:type="dxa"/>
              <w:end w:w="85" w:type="dxa"/>
            </w:tcMar>
            <w:shd w:fill="F4F7FA"/>
          </w:tcPr>
          <w:p>
            <w:pPr>
              <w:spacing w:after="0" w:before="0"/>
            </w:pPr>
            <w:r>
              <w:rPr>
                <w:sz w:val="16"/>
              </w:rPr>
              <w:t>₹5,400,000</w:t>
            </w:r>
          </w:p>
        </w:tc>
      </w:tr>
      <w:tr>
        <w:tc>
          <w:tcPr>
            <w:tcW w:type="dxa" w:w="1349"/>
            <w:vAlign w:val="center"/>
            <w:tcMar>
              <w:top w:w="70" w:type="dxa"/>
              <w:start w:w="85" w:type="dxa"/>
              <w:bottom w:w="70" w:type="dxa"/>
              <w:end w:w="85" w:type="dxa"/>
            </w:tcMar>
          </w:tcPr>
          <w:p>
            <w:pPr>
              <w:spacing w:after="0" w:before="0"/>
            </w:pPr>
            <w:r>
              <w:rPr>
                <w:sz w:val="16"/>
              </w:rPr>
              <w:t>30 courses</w:t>
            </w:r>
          </w:p>
        </w:tc>
        <w:tc>
          <w:tcPr>
            <w:tcW w:type="dxa" w:w="1744"/>
            <w:vAlign w:val="center"/>
            <w:tcMar>
              <w:top w:w="70" w:type="dxa"/>
              <w:start w:w="85" w:type="dxa"/>
              <w:bottom w:w="70" w:type="dxa"/>
              <w:end w:w="85" w:type="dxa"/>
            </w:tcMar>
          </w:tcPr>
          <w:p>
            <w:pPr>
              <w:spacing w:after="0" w:before="0"/>
            </w:pPr>
            <w:r>
              <w:rPr>
                <w:sz w:val="16"/>
              </w:rPr>
              <w:t>1,080 work-hours</w:t>
            </w:r>
          </w:p>
        </w:tc>
        <w:tc>
          <w:tcPr>
            <w:tcW w:type="dxa" w:w="2139"/>
            <w:vAlign w:val="center"/>
            <w:tcMar>
              <w:top w:w="70" w:type="dxa"/>
              <w:start w:w="85" w:type="dxa"/>
              <w:bottom w:w="70" w:type="dxa"/>
              <w:end w:w="85" w:type="dxa"/>
            </w:tcMar>
          </w:tcPr>
          <w:p>
            <w:pPr>
              <w:spacing w:after="0" w:before="0"/>
            </w:pPr>
            <w:r>
              <w:rPr>
                <w:sz w:val="16"/>
              </w:rPr>
              <w:t>60 editor-hours/week</w:t>
            </w:r>
          </w:p>
        </w:tc>
        <w:tc>
          <w:tcPr>
            <w:tcW w:type="dxa" w:w="2533"/>
            <w:vAlign w:val="center"/>
            <w:tcMar>
              <w:top w:w="70" w:type="dxa"/>
              <w:start w:w="85" w:type="dxa"/>
              <w:bottom w:w="70" w:type="dxa"/>
              <w:end w:w="85" w:type="dxa"/>
            </w:tcMar>
          </w:tcPr>
          <w:p>
            <w:pPr>
              <w:spacing w:after="0" w:before="0"/>
            </w:pPr>
            <w:r>
              <w:rPr>
                <w:sz w:val="16"/>
              </w:rPr>
              <w:t>18 weeks</w:t>
            </w:r>
          </w:p>
        </w:tc>
        <w:tc>
          <w:tcPr>
            <w:tcW w:type="dxa" w:w="2402"/>
            <w:vAlign w:val="center"/>
            <w:tcMar>
              <w:top w:w="70" w:type="dxa"/>
              <w:start w:w="85" w:type="dxa"/>
              <w:bottom w:w="70" w:type="dxa"/>
              <w:end w:w="85" w:type="dxa"/>
            </w:tcMar>
          </w:tcPr>
          <w:p>
            <w:pPr>
              <w:spacing w:after="0" w:before="0"/>
            </w:pPr>
            <w:r>
              <w:rPr>
                <w:sz w:val="16"/>
              </w:rPr>
              <w:t>₹20,250,000</w:t>
            </w:r>
          </w:p>
        </w:tc>
      </w:tr>
    </w:tbl>
    <w:p>
      <w:pPr>
        <w:spacing w:after="20"/>
      </w:pPr>
    </w:p>
    <w:p>
      <w:r>
        <w:t>For one course, 0.6 weeks is the editor-pool capacity equivalent—not a promise that a single course will be finished in that time.</w:t>
      </w:r>
    </w:p>
    <w:p>
      <w:pPr>
        <w:pStyle w:val="Heading2"/>
      </w:pPr>
      <w:r>
        <w:rPr>
          <w:sz w:val="26"/>
        </w:rPr>
        <w:t>7. Schedule interpretation and estimate limits</w:t>
      </w:r>
    </w:p>
    <w:p>
      <w:r>
        <w:rPr>
          <w:sz w:val="19"/>
        </w:rPr>
        <w:t xml:space="preserve">The 8-course editor calculation (4.8 capacity-weeks) does </w:t>
      </w:r>
      <w:r>
        <w:rPr>
          <w:b/>
          <w:sz w:val="19"/>
        </w:rPr>
        <w:t>not</w:t>
      </w:r>
      <w:r>
        <w:rPr>
          <w:sz w:val="19"/>
        </w:rPr>
        <w:t xml:space="preserve"> mean the courses will be ready 4.8 weeks after project start. Faculty recording is outside the IT team’s control and can produce only 8 courses within the next 3 months. If all recordings are handed over only at the end of that window, editing then adds 4.8 weeks at full capacity, before any validation/rework. The Project Plan uses that conservative, clearly labeled handoff assumption and a one-week validation allowance for schedule modelling.</w:t>
      </w:r>
    </w:p>
    <w:p>
      <w:r>
        <w:rPr>
          <w:sz w:val="19"/>
        </w:rPr>
        <w:t>A full 30-course launch cannot be dated from supplied data: the editor pool needs 18 capacity-weeks once all course content is available, while faculty’s capacity beyond the first 8 courses is unspecified. The platform’s 10-week readiness date is not a content-readiness date.</w:t>
      </w:r>
    </w:p>
    <w:p>
      <w:pPr>
        <w:pStyle w:val="Heading2"/>
      </w:pPr>
      <w:r>
        <w:rPr>
          <w:sz w:val="26"/>
        </w:rPr>
        <w:t>8. Assumptions and confidence</w:t>
      </w:r>
    </w:p>
    <w:tbl>
      <w:tblPr>
        <w:tblStyle w:val="TableGrid"/>
        <w:tblW w:type="auto" w:w="0"/>
        <w:jc w:val="center"/>
        <w:tblLayout w:type="fixed"/>
        <w:tblLook w:firstColumn="1" w:firstRow="1" w:lastColumn="0" w:lastRow="0" w:noHBand="0" w:noVBand="1" w:val="04A0"/>
      </w:tblPr>
      <w:tblGrid>
        <w:gridCol w:w="2244"/>
        <w:gridCol w:w="3961"/>
        <w:gridCol w:w="3961"/>
      </w:tblGrid>
      <w:tr>
        <w:trPr>
          <w:tblHeader w:val="true"/>
        </w:trPr>
        <w:tc>
          <w:tcPr>
            <w:tcW w:type="dxa" w:w="2244"/>
            <w:vAlign w:val="center"/>
            <w:tcMar>
              <w:top w:w="70" w:type="dxa"/>
              <w:start w:w="85" w:type="dxa"/>
              <w:bottom w:w="70" w:type="dxa"/>
              <w:end w:w="85" w:type="dxa"/>
            </w:tcMar>
            <w:shd w:fill="17365D"/>
          </w:tcPr>
          <w:p>
            <w:pPr>
              <w:spacing w:after="0" w:before="0"/>
            </w:pPr>
            <w:r>
              <w:rPr>
                <w:b/>
                <w:color w:val="FFFFFF"/>
                <w:sz w:val="17"/>
              </w:rPr>
              <w:t>Estimate</w:t>
            </w:r>
          </w:p>
        </w:tc>
        <w:tc>
          <w:tcPr>
            <w:tcW w:type="dxa" w:w="3961"/>
            <w:vAlign w:val="center"/>
            <w:tcMar>
              <w:top w:w="70" w:type="dxa"/>
              <w:start w:w="85" w:type="dxa"/>
              <w:bottom w:w="70" w:type="dxa"/>
              <w:end w:w="85" w:type="dxa"/>
            </w:tcMar>
            <w:shd w:fill="17365D"/>
          </w:tcPr>
          <w:p>
            <w:pPr>
              <w:spacing w:after="0" w:before="0"/>
            </w:pPr>
            <w:r>
              <w:rPr>
                <w:b/>
                <w:color w:val="FFFFFF"/>
                <w:sz w:val="17"/>
              </w:rPr>
              <w:t>Assumptions</w:t>
            </w:r>
          </w:p>
        </w:tc>
        <w:tc>
          <w:tcPr>
            <w:tcW w:type="dxa" w:w="3961"/>
            <w:vAlign w:val="center"/>
            <w:tcMar>
              <w:top w:w="70" w:type="dxa"/>
              <w:start w:w="85" w:type="dxa"/>
              <w:bottom w:w="70" w:type="dxa"/>
              <w:end w:w="85" w:type="dxa"/>
            </w:tcMar>
            <w:shd w:fill="17365D"/>
          </w:tcPr>
          <w:p>
            <w:pPr>
              <w:spacing w:after="0" w:before="0"/>
            </w:pPr>
            <w:r>
              <w:rPr>
                <w:b/>
                <w:color w:val="FFFFFF"/>
                <w:sz w:val="17"/>
              </w:rPr>
              <w:t>Confidence</w:t>
            </w:r>
          </w:p>
        </w:tc>
      </w:tr>
      <w:tr>
        <w:tc>
          <w:tcPr>
            <w:tcW w:type="dxa" w:w="2244"/>
            <w:vAlign w:val="center"/>
            <w:tcMar>
              <w:top w:w="70" w:type="dxa"/>
              <w:start w:w="85" w:type="dxa"/>
              <w:bottom w:w="70" w:type="dxa"/>
              <w:end w:w="85" w:type="dxa"/>
            </w:tcMar>
          </w:tcPr>
          <w:p>
            <w:pPr>
              <w:spacing w:after="0" w:before="0"/>
            </w:pPr>
            <w:r>
              <w:rPr>
                <w:sz w:val="17"/>
              </w:rPr>
              <w:t>36 work-hours/course</w:t>
            </w:r>
          </w:p>
        </w:tc>
        <w:tc>
          <w:tcPr>
            <w:tcW w:type="dxa" w:w="3961"/>
            <w:vAlign w:val="center"/>
            <w:tcMar>
              <w:top w:w="70" w:type="dxa"/>
              <w:start w:w="85" w:type="dxa"/>
              <w:bottom w:w="70" w:type="dxa"/>
              <w:end w:w="85" w:type="dxa"/>
            </w:tcMar>
          </w:tcPr>
          <w:p>
            <w:pPr>
              <w:spacing w:after="0" w:before="0"/>
            </w:pPr>
            <w:r>
              <w:rPr>
                <w:sz w:val="17"/>
              </w:rPr>
              <w:t>12 content-hours and 3 work-hours/content-hour apply uniformly to each course.</w:t>
            </w:r>
          </w:p>
        </w:tc>
        <w:tc>
          <w:tcPr>
            <w:tcW w:type="dxa" w:w="3961"/>
            <w:vAlign w:val="center"/>
            <w:tcMar>
              <w:top w:w="70" w:type="dxa"/>
              <w:start w:w="85" w:type="dxa"/>
              <w:bottom w:w="70" w:type="dxa"/>
              <w:end w:w="85" w:type="dxa"/>
            </w:tcMar>
          </w:tcPr>
          <w:p>
            <w:pPr>
              <w:spacing w:after="0" w:before="0"/>
            </w:pPr>
            <w:r>
              <w:rPr>
                <w:b/>
                <w:sz w:val="17"/>
              </w:rPr>
              <w:t>High arithmetic confidence; medium input applicability.</w:t>
            </w:r>
            <w:r>
              <w:rPr>
                <w:sz w:val="17"/>
              </w:rPr>
              <w:t xml:space="preserve"> Formula is direct, but course-to-course variation is unknown.</w:t>
            </w:r>
          </w:p>
        </w:tc>
      </w:tr>
      <w:tr>
        <w:tc>
          <w:tcPr>
            <w:tcW w:type="dxa" w:w="2244"/>
            <w:vAlign w:val="center"/>
            <w:tcMar>
              <w:top w:w="70" w:type="dxa"/>
              <w:start w:w="85" w:type="dxa"/>
              <w:bottom w:w="70" w:type="dxa"/>
              <w:end w:w="85" w:type="dxa"/>
            </w:tcMar>
            <w:shd w:fill="F4F7FA"/>
          </w:tcPr>
          <w:p>
            <w:pPr>
              <w:spacing w:after="0" w:before="0"/>
            </w:pPr>
            <w:r>
              <w:rPr>
                <w:sz w:val="17"/>
              </w:rPr>
              <w:t>288 hours / 4.8 capacity-weeks for 8</w:t>
            </w:r>
          </w:p>
        </w:tc>
        <w:tc>
          <w:tcPr>
            <w:tcW w:type="dxa" w:w="3961"/>
            <w:vAlign w:val="center"/>
            <w:tcMar>
              <w:top w:w="70" w:type="dxa"/>
              <w:start w:w="85" w:type="dxa"/>
              <w:bottom w:w="70" w:type="dxa"/>
              <w:end w:w="85" w:type="dxa"/>
            </w:tcMar>
            <w:shd w:fill="F4F7FA"/>
          </w:tcPr>
          <w:p>
            <w:pPr>
              <w:spacing w:after="0" w:before="0"/>
            </w:pPr>
            <w:r>
              <w:rPr>
                <w:sz w:val="17"/>
              </w:rPr>
              <w:t>Both editors are available for 30 productive hours/week; no leave, coordination loss, rework, or queue delay; work can be shared.</w:t>
            </w:r>
          </w:p>
        </w:tc>
        <w:tc>
          <w:tcPr>
            <w:tcW w:type="dxa" w:w="3961"/>
            <w:vAlign w:val="center"/>
            <w:tcMar>
              <w:top w:w="70" w:type="dxa"/>
              <w:start w:w="85" w:type="dxa"/>
              <w:bottom w:w="70" w:type="dxa"/>
              <w:end w:w="85" w:type="dxa"/>
            </w:tcMar>
            <w:shd w:fill="F4F7FA"/>
          </w:tcPr>
          <w:p>
            <w:pPr>
              <w:spacing w:after="0" w:before="0"/>
            </w:pPr>
            <w:r>
              <w:rPr>
                <w:b/>
                <w:sz w:val="17"/>
              </w:rPr>
              <w:t>High arithmetic confidence; low-to-medium elapsed-date confidence.</w:t>
            </w:r>
            <w:r>
              <w:rPr>
                <w:sz w:val="17"/>
              </w:rPr>
              <w:t xml:space="preserve"> Faculty handoffs are uncertain.</w:t>
            </w:r>
          </w:p>
        </w:tc>
      </w:tr>
      <w:tr>
        <w:tc>
          <w:tcPr>
            <w:tcW w:type="dxa" w:w="2244"/>
            <w:vAlign w:val="center"/>
            <w:tcMar>
              <w:top w:w="70" w:type="dxa"/>
              <w:start w:w="85" w:type="dxa"/>
              <w:bottom w:w="70" w:type="dxa"/>
              <w:end w:w="85" w:type="dxa"/>
            </w:tcMar>
          </w:tcPr>
          <w:p>
            <w:pPr>
              <w:spacing w:after="0" w:before="0"/>
            </w:pPr>
            <w:r>
              <w:rPr>
                <w:sz w:val="17"/>
              </w:rPr>
              <w:t>1,080 hours / 18 capacity-weeks for 30</w:t>
            </w:r>
          </w:p>
        </w:tc>
        <w:tc>
          <w:tcPr>
            <w:tcW w:type="dxa" w:w="3961"/>
            <w:vAlign w:val="center"/>
            <w:tcMar>
              <w:top w:w="70" w:type="dxa"/>
              <w:start w:w="85" w:type="dxa"/>
              <w:bottom w:w="70" w:type="dxa"/>
              <w:end w:w="85" w:type="dxa"/>
            </w:tcMar>
          </w:tcPr>
          <w:p>
            <w:pPr>
              <w:spacing w:after="0" w:before="0"/>
            </w:pPr>
            <w:r>
              <w:rPr>
                <w:sz w:val="17"/>
              </w:rPr>
              <w:t>Same editor assumptions; all 30 content packages are available.</w:t>
            </w:r>
          </w:p>
        </w:tc>
        <w:tc>
          <w:tcPr>
            <w:tcW w:type="dxa" w:w="3961"/>
            <w:vAlign w:val="center"/>
            <w:tcMar>
              <w:top w:w="70" w:type="dxa"/>
              <w:start w:w="85" w:type="dxa"/>
              <w:bottom w:w="70" w:type="dxa"/>
              <w:end w:w="85" w:type="dxa"/>
            </w:tcMar>
          </w:tcPr>
          <w:p>
            <w:pPr>
              <w:spacing w:after="0" w:before="0"/>
            </w:pPr>
            <w:r>
              <w:rPr>
                <w:b/>
                <w:sz w:val="17"/>
              </w:rPr>
              <w:t>High arithmetic confidence; low schedule confidence.</w:t>
            </w:r>
            <w:r>
              <w:rPr>
                <w:sz w:val="17"/>
              </w:rPr>
              <w:t xml:space="preserve"> Faculty capacity and delivery dates for 22 additional courses are unknown.</w:t>
            </w:r>
          </w:p>
        </w:tc>
      </w:tr>
      <w:tr>
        <w:tc>
          <w:tcPr>
            <w:tcW w:type="dxa" w:w="2244"/>
            <w:vAlign w:val="center"/>
            <w:tcMar>
              <w:top w:w="70" w:type="dxa"/>
              <w:start w:w="85" w:type="dxa"/>
              <w:bottom w:w="70" w:type="dxa"/>
              <w:end w:w="85" w:type="dxa"/>
            </w:tcMar>
            <w:shd w:fill="F4F7FA"/>
          </w:tcPr>
          <w:p>
            <w:pPr>
              <w:spacing w:after="0" w:before="0"/>
            </w:pPr>
            <w:r>
              <w:rPr>
                <w:sz w:val="17"/>
              </w:rPr>
              <w:t>Revenue scenarios</w:t>
            </w:r>
          </w:p>
        </w:tc>
        <w:tc>
          <w:tcPr>
            <w:tcW w:type="dxa" w:w="3961"/>
            <w:vAlign w:val="center"/>
            <w:tcMar>
              <w:top w:w="70" w:type="dxa"/>
              <w:start w:w="85" w:type="dxa"/>
              <w:bottom w:w="70" w:type="dxa"/>
              <w:end w:w="85" w:type="dxa"/>
            </w:tcMar>
            <w:shd w:fill="F4F7FA"/>
          </w:tcPr>
          <w:p>
            <w:pPr>
              <w:spacing w:after="0" w:before="0"/>
            </w:pPr>
            <w:r>
              <w:rPr>
                <w:sz w:val="17"/>
              </w:rPr>
              <w:t>₹4,500 and 150 enrolments/course apply to every course in year one.</w:t>
            </w:r>
          </w:p>
        </w:tc>
        <w:tc>
          <w:tcPr>
            <w:tcW w:type="dxa" w:w="3961"/>
            <w:vAlign w:val="center"/>
            <w:tcMar>
              <w:top w:w="70" w:type="dxa"/>
              <w:start w:w="85" w:type="dxa"/>
              <w:bottom w:w="70" w:type="dxa"/>
              <w:end w:w="85" w:type="dxa"/>
            </w:tcMar>
            <w:shd w:fill="F4F7FA"/>
          </w:tcPr>
          <w:p>
            <w:pPr>
              <w:spacing w:after="0" w:before="0"/>
            </w:pPr>
            <w:r>
              <w:rPr>
                <w:b/>
                <w:sz w:val="17"/>
              </w:rPr>
              <w:t>High arithmetic confidence; low forecast confidence.</w:t>
            </w:r>
            <w:r>
              <w:rPr>
                <w:sz w:val="17"/>
              </w:rPr>
              <w:t xml:space="preserve"> Actual enrolment and net revenue are not supplied.</w:t>
            </w:r>
          </w:p>
        </w:tc>
      </w:tr>
    </w:tbl>
    <w:p>
      <w:pPr>
        <w:spacing w:after="20"/>
      </w:pPr>
    </w:p>
    <w:p>
      <w:pPr>
        <w:pStyle w:val="Heading2"/>
      </w:pPr>
      <w:r>
        <w:rPr>
          <w:sz w:val="26"/>
        </w:rPr>
        <w:t>9. Why an estimate is not a promise</w:t>
      </w:r>
    </w:p>
    <w:p>
      <w:r>
        <w:t>These numbers are estimates because they depend on the supplied inputs and on how the work is actually delivered. Faculty availability, the timing and quality of recordings, editor workload, rework, reviews, integrations, and approvals can all change the calendar date. The revenue figures are target-based scenarios, not forecasts. Refresh the estimate when course handoff dates, actual effort, launch scope, and enrolment results are known.</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CourseCraft • Academic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COURSECRAFT  |  SOFTWARE ENGINEERING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