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50"/>
        </w:rPr>
        <w:t>CourseCraft — Project Plan</w:t>
      </w:r>
    </w:p>
    <w:p>
      <w:r>
        <w:rPr>
          <w:b/>
          <w:sz w:val="19"/>
        </w:rPr>
        <w:t>Case Study 108 | Version 1.0 | 1 October 2026</w:t>
      </w:r>
    </w:p>
    <w:p>
      <w:pPr>
        <w:spacing w:after="60"/>
      </w:pPr>
      <w:r>
        <w:t>Planning baseline: This plan models a first launch with up to 8 content-ready courses, subject to the Director’s approval. The platform should support a 30-course catalogue, but the brief confirms recordings for only 8 courses in the next 3 months.</w:t>
      </w:r>
    </w:p>
    <w:p>
      <w:pPr>
        <w:pStyle w:val="Heading2"/>
      </w:pPr>
      <w:r>
        <w:rPr>
          <w:sz w:val="26"/>
        </w:rPr>
        <w:t>1. Executive schedule decision</w:t>
      </w:r>
    </w:p>
    <w:p>
      <w:r>
        <w:t>The platform is expected to be ready in 10 weeks, but that does not mean the courses are ready to teach. In the 30-course scenario, the supplied production effort converts to 18 editor-capacity weeks—an 8-week gap beyond the software plan. For an 8-course phase, the production estimate is 4.8 capacity-weeks once the recordings are available. Faculty can record only 8 courses in the next 3 months, so the actual first-launch date depends on when accepted recordings arrive.</w:t>
      </w:r>
    </w:p>
    <w:p>
      <w:r>
        <w:t>The detailed network below is a planning scenario, not a promised date. It assumes the 8-course recording batch arrives at the end of a 12-week window, then allows 4.8 capacity-weeks for production and one assumed week for validation. Batch handoffs could overlap production and finish sooner; late recordings or rework could make it later. The Director should confirm whether to launch a ready subset or wait for more courses.</w:t>
      </w:r>
    </w:p>
    <w:p>
      <w:pPr>
        <w:pStyle w:val="Heading2"/>
      </w:pPr>
      <w:r>
        <w:rPr>
          <w:sz w:val="26"/>
        </w:rPr>
        <w:t>2. Scope and planning assumptions</w:t>
      </w:r>
    </w:p>
    <w:p>
      <w:pPr>
        <w:pStyle w:val="Heading3"/>
      </w:pPr>
      <w:r>
        <w:rPr>
          <w:sz w:val="21"/>
        </w:rPr>
        <w:t>Supplied case data</w:t>
      </w:r>
    </w:p>
    <w:p>
      <w:pPr>
        <w:pStyle w:val="ListBullet"/>
      </w:pPr>
      <w:r>
        <w:rPr>
          <w:sz w:val="18"/>
        </w:rPr>
        <w:t>Platform readiness: 10 weeks.</w:t>
      </w:r>
    </w:p>
    <w:p>
      <w:pPr>
        <w:pStyle w:val="ListBullet"/>
      </w:pPr>
      <w:r>
        <w:rPr>
          <w:sz w:val="18"/>
        </w:rPr>
        <w:t>Faculty can record 8 courses in the next 3 months.</w:t>
      </w:r>
    </w:p>
    <w:p>
      <w:pPr>
        <w:pStyle w:val="ListBullet"/>
      </w:pPr>
      <w:r>
        <w:rPr>
          <w:sz w:val="18"/>
        </w:rPr>
        <w:t>Per course: 12 recorded content hours; recording and editing take 3 work hours per content hour.</w:t>
      </w:r>
    </w:p>
    <w:p>
      <w:pPr>
        <w:pStyle w:val="ListBullet"/>
      </w:pPr>
      <w:r>
        <w:rPr>
          <w:sz w:val="18"/>
        </w:rPr>
        <w:t>Two editors, each available 30 hours/week.</w:t>
      </w:r>
    </w:p>
    <w:p>
      <w:pPr>
        <w:pStyle w:val="ListBullet"/>
      </w:pPr>
      <w:r>
        <w:rPr>
          <w:sz w:val="18"/>
        </w:rPr>
        <w:t>Launch ambition: 30 courses; no assumption that the ambition is achievable with current content capacity.</w:t>
      </w:r>
    </w:p>
    <w:p>
      <w:pPr>
        <w:pStyle w:val="Heading3"/>
      </w:pPr>
      <w:r>
        <w:rPr>
          <w:sz w:val="21"/>
        </w:rPr>
        <w:t>Explicit planning assumptions (to validate)</w:t>
      </w:r>
    </w:p>
    <w:p>
      <w:pPr>
        <w:pStyle w:val="ListNumber"/>
      </w:pPr>
      <w:r>
        <w:rPr>
          <w:sz w:val="18"/>
        </w:rPr>
        <w:t>“Next 3 months” is represented as a 12-week planning window. This is a calendar approximation for scheduling only.</w:t>
      </w:r>
    </w:p>
    <w:p>
      <w:pPr>
        <w:pStyle w:val="ListNumber"/>
      </w:pPr>
      <w:r>
        <w:rPr>
          <w:sz w:val="18"/>
        </w:rPr>
        <w:t>A conservative handoff model assumes the batch of 8 recordings is available at the end of week 12, followed by a 4.8-week production-capacity block and content validation. No batch dates were supplied. Since the stated effort rate combines recording and editing, validate the activity split before treating this as an editorial-only forecast; actual batch handoffs may overlap work.</w:t>
      </w:r>
    </w:p>
    <w:p>
      <w:pPr>
        <w:pStyle w:val="ListNumber"/>
      </w:pPr>
      <w:r>
        <w:rPr>
          <w:sz w:val="18"/>
        </w:rPr>
        <w:t>The 10-week platform duration is represented by a 2+2+4+2 week work breakdown; component durations are planning allocations that sum to the supplied 10 weeks, not separately supplied estimates.</w:t>
      </w:r>
    </w:p>
    <w:p>
      <w:pPr>
        <w:pStyle w:val="ListNumber"/>
      </w:pPr>
      <w:r>
        <w:rPr>
          <w:sz w:val="18"/>
        </w:rPr>
        <w:t>Content validation/release preparation is one week for schedule modelling only; it is not supplied project data.</w:t>
      </w:r>
    </w:p>
    <w:p>
      <w:pPr>
        <w:pStyle w:val="ListNumber"/>
      </w:pPr>
      <w:r>
        <w:rPr>
          <w:sz w:val="18"/>
        </w:rPr>
        <w:t>Activities start at week 0 and durations use elapsed weeks; resource levelling and holidays are not modelled. Platform staffing numbers are unknown and are not invented.</w:t>
      </w:r>
    </w:p>
    <w:p>
      <w:pPr>
        <w:pStyle w:val="ListNumber"/>
      </w:pPr>
      <w:r>
        <w:rPr>
          <w:sz w:val="18"/>
        </w:rPr>
        <w:t>A staged cohort of up to 8 is used as a schedule scenario, subject to Director approval. A 30-course fully recorded launch requires a revised plan and faculty commitment.</w:t>
      </w:r>
    </w:p>
    <w:p>
      <w:pPr>
        <w:pStyle w:val="Heading2"/>
      </w:pPr>
      <w:r>
        <w:rPr>
          <w:sz w:val="26"/>
        </w:rPr>
        <w:t>3. WBS (work breakdown structure)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5"/>
        <w:gridCol w:w="4423"/>
        <w:gridCol w:w="8468"/>
      </w:tblGrid>
      <w:tr>
        <w:trPr>
          <w:tblHeader w:val="true"/>
        </w:trPr>
        <w:tc>
          <w:tcPr>
            <w:tcW w:type="dxa" w:w="136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WBS</w:t>
            </w:r>
          </w:p>
        </w:tc>
        <w:tc>
          <w:tcPr>
            <w:tcW w:type="dxa" w:w="44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Work package</w:t>
            </w:r>
          </w:p>
        </w:tc>
        <w:tc>
          <w:tcPr>
            <w:tcW w:type="dxa" w:w="84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Output / exit criterion</w:t>
            </w:r>
          </w:p>
        </w:tc>
      </w:tr>
      <w:tr>
        <w:tc>
          <w:tcPr>
            <w:tcW w:type="dxa" w:w="136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1.0</w:t>
            </w:r>
          </w:p>
        </w:tc>
        <w:tc>
          <w:tcPr>
            <w:tcW w:type="dxa" w:w="44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Initiation and governance</w:t>
            </w:r>
          </w:p>
        </w:tc>
        <w:tc>
          <w:tcPr>
            <w:tcW w:type="dxa" w:w="84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Approved scope decision, roles, change control, stakeholder workshop.</w:t>
            </w:r>
          </w:p>
        </w:tc>
      </w:tr>
      <w:tr>
        <w:tc>
          <w:tcPr>
            <w:tcW w:type="dxa" w:w="136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7"/>
              </w:rPr>
              <w:t>1.1</w:t>
            </w:r>
          </w:p>
        </w:tc>
        <w:tc>
          <w:tcPr>
            <w:tcW w:type="dxa" w:w="44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7"/>
              </w:rPr>
              <w:t>Requirements and analysis</w:t>
            </w:r>
          </w:p>
        </w:tc>
        <w:tc>
          <w:tcPr>
            <w:tcW w:type="dxa" w:w="84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7"/>
              </w:rPr>
              <w:t>Baselined SRS, certificate policy decisions, NFR targets approved.</w:t>
            </w:r>
          </w:p>
        </w:tc>
      </w:tr>
      <w:tr>
        <w:tc>
          <w:tcPr>
            <w:tcW w:type="dxa" w:w="136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1.2</w:t>
            </w:r>
          </w:p>
        </w:tc>
        <w:tc>
          <w:tcPr>
            <w:tcW w:type="dxa" w:w="44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Architecture and design</w:t>
            </w:r>
          </w:p>
        </w:tc>
        <w:tc>
          <w:tcPr>
            <w:tcW w:type="dxa" w:w="84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UML package, interfaces for payment/video, security design.</w:t>
            </w:r>
          </w:p>
        </w:tc>
      </w:tr>
      <w:tr>
        <w:tc>
          <w:tcPr>
            <w:tcW w:type="dxa" w:w="136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7"/>
              </w:rPr>
              <w:t>1.3</w:t>
            </w:r>
          </w:p>
        </w:tc>
        <w:tc>
          <w:tcPr>
            <w:tcW w:type="dxa" w:w="44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7"/>
              </w:rPr>
              <w:t>Platform implementation</w:t>
            </w:r>
          </w:p>
        </w:tc>
        <w:tc>
          <w:tcPr>
            <w:tcW w:type="dxa" w:w="84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7"/>
              </w:rPr>
              <w:t>Catalogue, enrolment/payment, playback/progress, quizzes/certificates, dashboards.</w:t>
            </w:r>
          </w:p>
        </w:tc>
      </w:tr>
      <w:tr>
        <w:tc>
          <w:tcPr>
            <w:tcW w:type="dxa" w:w="136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1.4</w:t>
            </w:r>
          </w:p>
        </w:tc>
        <w:tc>
          <w:tcPr>
            <w:tcW w:type="dxa" w:w="44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Integration and platform QA</w:t>
            </w:r>
          </w:p>
        </w:tc>
        <w:tc>
          <w:tcPr>
            <w:tcW w:type="dxa" w:w="84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Integrated build, security/access tests, load and functional evidence.</w:t>
            </w:r>
          </w:p>
        </w:tc>
      </w:tr>
      <w:tr>
        <w:tc>
          <w:tcPr>
            <w:tcW w:type="dxa" w:w="136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7"/>
              </w:rPr>
              <w:t>1.5</w:t>
            </w:r>
          </w:p>
        </w:tc>
        <w:tc>
          <w:tcPr>
            <w:tcW w:type="dxa" w:w="44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7"/>
              </w:rPr>
              <w:t>Faculty content readiness</w:t>
            </w:r>
          </w:p>
        </w:tc>
        <w:tc>
          <w:tcPr>
            <w:tcW w:type="dxa" w:w="84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7"/>
              </w:rPr>
              <w:t>Recording plan, 8 course recordings supplied, editor handoffs tracked.</w:t>
            </w:r>
          </w:p>
        </w:tc>
      </w:tr>
      <w:tr>
        <w:tc>
          <w:tcPr>
            <w:tcW w:type="dxa" w:w="136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1.6</w:t>
            </w:r>
          </w:p>
        </w:tc>
        <w:tc>
          <w:tcPr>
            <w:tcW w:type="dxa" w:w="44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Production-capacity block and packaging</w:t>
            </w:r>
          </w:p>
        </w:tc>
        <w:tc>
          <w:tcPr>
            <w:tcW w:type="dxa" w:w="84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Production effort allocated for the content-backed cohort under the case-rate proxy; actual recording/editing split to be validated.</w:t>
            </w:r>
          </w:p>
        </w:tc>
      </w:tr>
      <w:tr>
        <w:tc>
          <w:tcPr>
            <w:tcW w:type="dxa" w:w="136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7"/>
              </w:rPr>
              <w:t>1.7</w:t>
            </w:r>
          </w:p>
        </w:tc>
        <w:tc>
          <w:tcPr>
            <w:tcW w:type="dxa" w:w="44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7"/>
              </w:rPr>
              <w:t>Content validation</w:t>
            </w:r>
          </w:p>
        </w:tc>
        <w:tc>
          <w:tcPr>
            <w:tcW w:type="dxa" w:w="84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7"/>
              </w:rPr>
              <w:t>Playback, metadata, captions/accessibility checks as approved; assets marked ready.</w:t>
            </w:r>
          </w:p>
        </w:tc>
      </w:tr>
      <w:tr>
        <w:tc>
          <w:tcPr>
            <w:tcW w:type="dxa" w:w="136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1.8</w:t>
            </w:r>
          </w:p>
        </w:tc>
        <w:tc>
          <w:tcPr>
            <w:tcW w:type="dxa" w:w="44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Release readiness</w:t>
            </w:r>
          </w:p>
        </w:tc>
        <w:tc>
          <w:tcPr>
            <w:tcW w:type="dxa" w:w="84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Course catalogue/content reconciliation, support readiness, go/no-go.</w:t>
            </w:r>
          </w:p>
        </w:tc>
      </w:tr>
      <w:tr>
        <w:tc>
          <w:tcPr>
            <w:tcW w:type="dxa" w:w="136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7"/>
              </w:rPr>
              <w:t>1.9</w:t>
            </w:r>
          </w:p>
        </w:tc>
        <w:tc>
          <w:tcPr>
            <w:tcW w:type="dxa" w:w="442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7"/>
              </w:rPr>
              <w:t>Launch and closure</w:t>
            </w:r>
          </w:p>
        </w:tc>
        <w:tc>
          <w:tcPr>
            <w:tcW w:type="dxa" w:w="84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7"/>
              </w:rPr>
              <w:t>Production release, initial monitoring, lessons learned and handover.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sz w:val="26"/>
        </w:rPr>
        <w:t>4. Network logic and forward/backward pass</w:t>
      </w:r>
    </w:p>
    <w:p>
      <w:r>
        <w:t>The two workstreams start together: the platform path is A → B → C → D, while content follows E → F → G. Both must be ready before the launch checkpoint I. “Float” is the time a non-critical task can slip before it delays the modeled week-17.8 launch.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5"/>
        <w:gridCol w:w="3430"/>
        <w:gridCol w:w="1614"/>
        <w:gridCol w:w="1289"/>
        <w:gridCol w:w="1095"/>
        <w:gridCol w:w="1095"/>
        <w:gridCol w:w="1095"/>
        <w:gridCol w:w="1095"/>
        <w:gridCol w:w="1289"/>
        <w:gridCol w:w="1160"/>
      </w:tblGrid>
      <w:tr>
        <w:trPr>
          <w:tblHeader w:val="true"/>
        </w:trPr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43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4"/>
              </w:rPr>
              <w:t>Activity</w:t>
            </w:r>
          </w:p>
        </w:tc>
        <w:tc>
          <w:tcPr>
            <w:tcW w:type="dxa" w:w="161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4"/>
              </w:rPr>
              <w:t>Duration (weeks)</w:t>
            </w:r>
          </w:p>
        </w:tc>
        <w:tc>
          <w:tcPr>
            <w:tcW w:type="dxa" w:w="1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4"/>
              </w:rPr>
              <w:t>Predecessor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4"/>
              </w:rPr>
              <w:t>ES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4"/>
              </w:rPr>
              <w:t>EF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4"/>
              </w:rPr>
              <w:t>LS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4"/>
              </w:rPr>
              <w:t>LF</w:t>
            </w:r>
          </w:p>
        </w:tc>
        <w:tc>
          <w:tcPr>
            <w:tcW w:type="dxa" w:w="1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4"/>
              </w:rPr>
              <w:t>Total float</w:t>
            </w:r>
          </w:p>
        </w:tc>
        <w:tc>
          <w:tcPr>
            <w:tcW w:type="dxa" w:w="116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4"/>
              </w:rPr>
              <w:t>Critical?</w:t>
            </w:r>
          </w:p>
        </w:tc>
      </w:tr>
      <w:tr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A</w:t>
            </w:r>
          </w:p>
        </w:tc>
        <w:tc>
          <w:tcPr>
            <w:tcW w:type="dxa" w:w="343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Requirements/workshop and baseline</w:t>
            </w:r>
          </w:p>
        </w:tc>
        <w:tc>
          <w:tcPr>
            <w:tcW w:type="dxa" w:w="161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2.0</w:t>
            </w:r>
          </w:p>
        </w:tc>
        <w:tc>
          <w:tcPr>
            <w:tcW w:type="dxa" w:w="1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—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0.0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2.0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7.8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9.8</w:t>
            </w:r>
          </w:p>
        </w:tc>
        <w:tc>
          <w:tcPr>
            <w:tcW w:type="dxa" w:w="1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7.8</w:t>
            </w:r>
          </w:p>
        </w:tc>
        <w:tc>
          <w:tcPr>
            <w:tcW w:type="dxa" w:w="116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B</w:t>
            </w:r>
          </w:p>
        </w:tc>
        <w:tc>
          <w:tcPr>
            <w:tcW w:type="dxa" w:w="343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Architecture, UX, and detailed design</w:t>
            </w:r>
          </w:p>
        </w:tc>
        <w:tc>
          <w:tcPr>
            <w:tcW w:type="dxa" w:w="161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2.0</w:t>
            </w:r>
          </w:p>
        </w:tc>
        <w:tc>
          <w:tcPr>
            <w:tcW w:type="dxa" w:w="1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A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2.0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4.0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9.8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11.8</w:t>
            </w:r>
          </w:p>
        </w:tc>
        <w:tc>
          <w:tcPr>
            <w:tcW w:type="dxa" w:w="1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7.8</w:t>
            </w:r>
          </w:p>
        </w:tc>
        <w:tc>
          <w:tcPr>
            <w:tcW w:type="dxa" w:w="116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</w:t>
            </w:r>
          </w:p>
        </w:tc>
        <w:tc>
          <w:tcPr>
            <w:tcW w:type="dxa" w:w="343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Platform build (feature implementation)</w:t>
            </w:r>
          </w:p>
        </w:tc>
        <w:tc>
          <w:tcPr>
            <w:tcW w:type="dxa" w:w="161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4.0</w:t>
            </w:r>
          </w:p>
        </w:tc>
        <w:tc>
          <w:tcPr>
            <w:tcW w:type="dxa" w:w="1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B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4.0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8.0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11.8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15.8</w:t>
            </w:r>
          </w:p>
        </w:tc>
        <w:tc>
          <w:tcPr>
            <w:tcW w:type="dxa" w:w="1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7.8</w:t>
            </w:r>
          </w:p>
        </w:tc>
        <w:tc>
          <w:tcPr>
            <w:tcW w:type="dxa" w:w="116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D</w:t>
            </w:r>
          </w:p>
        </w:tc>
        <w:tc>
          <w:tcPr>
            <w:tcW w:type="dxa" w:w="343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Integration, platform QA, security/UAT fixes</w:t>
            </w:r>
          </w:p>
        </w:tc>
        <w:tc>
          <w:tcPr>
            <w:tcW w:type="dxa" w:w="161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2.0</w:t>
            </w:r>
          </w:p>
        </w:tc>
        <w:tc>
          <w:tcPr>
            <w:tcW w:type="dxa" w:w="1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C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8.0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10.0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15.8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17.8</w:t>
            </w:r>
          </w:p>
        </w:tc>
        <w:tc>
          <w:tcPr>
            <w:tcW w:type="dxa" w:w="1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7.8</w:t>
            </w:r>
          </w:p>
        </w:tc>
        <w:tc>
          <w:tcPr>
            <w:tcW w:type="dxa" w:w="116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H</w:t>
            </w:r>
          </w:p>
        </w:tc>
        <w:tc>
          <w:tcPr>
            <w:tcW w:type="dxa" w:w="343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b/>
                <w:sz w:val="14"/>
              </w:rPr>
              <w:t>Milestone: platform ready</w:t>
            </w:r>
          </w:p>
        </w:tc>
        <w:tc>
          <w:tcPr>
            <w:tcW w:type="dxa" w:w="161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0.0</w:t>
            </w:r>
          </w:p>
        </w:tc>
        <w:tc>
          <w:tcPr>
            <w:tcW w:type="dxa" w:w="1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10.0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10.0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17.8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17.8</w:t>
            </w:r>
          </w:p>
        </w:tc>
        <w:tc>
          <w:tcPr>
            <w:tcW w:type="dxa" w:w="1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7.8</w:t>
            </w:r>
          </w:p>
        </w:tc>
        <w:tc>
          <w:tcPr>
            <w:tcW w:type="dxa" w:w="116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E</w:t>
            </w:r>
          </w:p>
        </w:tc>
        <w:tc>
          <w:tcPr>
            <w:tcW w:type="dxa" w:w="343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Faculty record and hand off 8 courses</w:t>
            </w:r>
          </w:p>
        </w:tc>
        <w:tc>
          <w:tcPr>
            <w:tcW w:type="dxa" w:w="161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12.0</w:t>
            </w:r>
          </w:p>
        </w:tc>
        <w:tc>
          <w:tcPr>
            <w:tcW w:type="dxa" w:w="1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—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0.0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12.0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0.0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12.0</w:t>
            </w:r>
          </w:p>
        </w:tc>
        <w:tc>
          <w:tcPr>
            <w:tcW w:type="dxa" w:w="1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0.0</w:t>
            </w:r>
          </w:p>
        </w:tc>
        <w:tc>
          <w:tcPr>
            <w:tcW w:type="dxa" w:w="116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</w:t>
            </w:r>
          </w:p>
        </w:tc>
        <w:tc>
          <w:tcPr>
            <w:tcW w:type="dxa" w:w="343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Production capacity / package 8-course batch</w:t>
            </w:r>
          </w:p>
        </w:tc>
        <w:tc>
          <w:tcPr>
            <w:tcW w:type="dxa" w:w="161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4.8</w:t>
            </w:r>
          </w:p>
        </w:tc>
        <w:tc>
          <w:tcPr>
            <w:tcW w:type="dxa" w:w="1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E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12.0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16.8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12.0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16.8</w:t>
            </w:r>
          </w:p>
        </w:tc>
        <w:tc>
          <w:tcPr>
            <w:tcW w:type="dxa" w:w="1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0.0</w:t>
            </w:r>
          </w:p>
        </w:tc>
        <w:tc>
          <w:tcPr>
            <w:tcW w:type="dxa" w:w="116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G</w:t>
            </w:r>
          </w:p>
        </w:tc>
        <w:tc>
          <w:tcPr>
            <w:tcW w:type="dxa" w:w="343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Content validation and release packaging</w:t>
            </w:r>
          </w:p>
        </w:tc>
        <w:tc>
          <w:tcPr>
            <w:tcW w:type="dxa" w:w="161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1.0</w:t>
            </w:r>
          </w:p>
        </w:tc>
        <w:tc>
          <w:tcPr>
            <w:tcW w:type="dxa" w:w="1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F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16.8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17.8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16.8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17.8</w:t>
            </w:r>
          </w:p>
        </w:tc>
        <w:tc>
          <w:tcPr>
            <w:tcW w:type="dxa" w:w="1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0.0</w:t>
            </w:r>
          </w:p>
        </w:tc>
        <w:tc>
          <w:tcPr>
            <w:tcW w:type="dxa" w:w="116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</w:t>
            </w:r>
          </w:p>
        </w:tc>
        <w:tc>
          <w:tcPr>
            <w:tcW w:type="dxa" w:w="343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b/>
                <w:sz w:val="14"/>
              </w:rPr>
              <w:t>Milestone: content-backed launch/go-live</w:t>
            </w:r>
          </w:p>
        </w:tc>
        <w:tc>
          <w:tcPr>
            <w:tcW w:type="dxa" w:w="161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0.0</w:t>
            </w:r>
          </w:p>
        </w:tc>
        <w:tc>
          <w:tcPr>
            <w:tcW w:type="dxa" w:w="1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G and H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17.8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17.8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17.8</w:t>
            </w:r>
          </w:p>
        </w:tc>
        <w:tc>
          <w:tcPr>
            <w:tcW w:type="dxa" w:w="10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17.8</w:t>
            </w:r>
          </w:p>
        </w:tc>
        <w:tc>
          <w:tcPr>
            <w:tcW w:type="dxa" w:w="1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0.0</w:t>
            </w:r>
          </w:p>
        </w:tc>
        <w:tc>
          <w:tcPr>
            <w:tcW w:type="dxa" w:w="116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Yes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b/>
          <w:sz w:val="18"/>
        </w:rPr>
        <w:t>Forward-pass formulas:</w:t>
      </w:r>
      <w:r>
        <w:rPr>
          <w:sz w:val="18"/>
        </w:rPr>
        <w:t xml:space="preserve"> </w:t>
      </w:r>
      <w:r>
        <w:rPr>
          <w:rFonts w:ascii="Consolas" w:hAnsi="Consolas"/>
          <w:color w:val="1F4E78"/>
          <w:sz w:val="17"/>
        </w:rPr>
        <w:t>EF = ES + duration</w:t>
      </w:r>
      <w:r>
        <w:rPr>
          <w:sz w:val="18"/>
        </w:rPr>
        <w:t xml:space="preserve">; for activities with multiple predecessors, </w:t>
      </w:r>
      <w:r>
        <w:rPr>
          <w:rFonts w:ascii="Consolas" w:hAnsi="Consolas"/>
          <w:color w:val="1F4E78"/>
          <w:sz w:val="17"/>
        </w:rPr>
        <w:t>ES = maximum predecessor EF</w:t>
      </w:r>
      <w:r>
        <w:rPr>
          <w:sz w:val="18"/>
        </w:rPr>
        <w:t xml:space="preserve">. </w:t>
      </w:r>
      <w:r>
        <w:rPr>
          <w:b/>
          <w:sz w:val="18"/>
        </w:rPr>
        <w:t>Backward-pass formulas:</w:t>
      </w:r>
      <w:r>
        <w:rPr>
          <w:sz w:val="18"/>
        </w:rPr>
        <w:t xml:space="preserve"> </w:t>
      </w:r>
      <w:r>
        <w:rPr>
          <w:rFonts w:ascii="Consolas" w:hAnsi="Consolas"/>
          <w:color w:val="1F4E78"/>
          <w:sz w:val="17"/>
        </w:rPr>
        <w:t>LS = LF − duration</w:t>
      </w:r>
      <w:r>
        <w:rPr>
          <w:sz w:val="18"/>
        </w:rPr>
        <w:t xml:space="preserve">; </w:t>
      </w:r>
      <w:r>
        <w:rPr>
          <w:rFonts w:ascii="Consolas" w:hAnsi="Consolas"/>
          <w:color w:val="1F4E78"/>
          <w:sz w:val="17"/>
        </w:rPr>
        <w:t>LF = minimum successor LS</w:t>
      </w:r>
      <w:r>
        <w:rPr>
          <w:sz w:val="18"/>
        </w:rPr>
        <w:t xml:space="preserve">. </w:t>
      </w:r>
      <w:r>
        <w:rPr>
          <w:b/>
          <w:sz w:val="18"/>
        </w:rPr>
        <w:t>Total float:</w:t>
      </w:r>
      <w:r>
        <w:rPr>
          <w:sz w:val="18"/>
        </w:rPr>
        <w:t xml:space="preserve"> </w:t>
      </w:r>
      <w:r>
        <w:rPr>
          <w:rFonts w:ascii="Consolas" w:hAnsi="Consolas"/>
          <w:color w:val="1F4E78"/>
          <w:sz w:val="17"/>
        </w:rPr>
        <w:t>TF = LS − ES</w:t>
      </w:r>
      <w:r>
        <w:rPr>
          <w:sz w:val="18"/>
        </w:rPr>
        <w:t xml:space="preserve"> (equivalently </w:t>
      </w:r>
      <w:r>
        <w:rPr>
          <w:rFonts w:ascii="Consolas" w:hAnsi="Consolas"/>
          <w:color w:val="1F4E78"/>
          <w:sz w:val="17"/>
        </w:rPr>
        <w:t>LF − EF</w:t>
      </w:r>
      <w:r>
        <w:rPr>
          <w:sz w:val="18"/>
        </w:rPr>
        <w:t>).</w:t>
      </w:r>
    </w:p>
    <w:p>
      <w:pPr>
        <w:spacing w:after="60"/>
      </w:pPr>
      <w:r>
        <w:rPr>
          <w:b/>
          <w:sz w:val="18"/>
        </w:rPr>
        <w:t>Critical path:</w:t>
      </w:r>
      <w:r>
        <w:rPr>
          <w:sz w:val="18"/>
        </w:rPr>
        <w:t xml:space="preserve"> </w:t>
      </w:r>
      <w:r>
        <w:rPr>
          <w:rFonts w:ascii="Consolas" w:hAnsi="Consolas"/>
          <w:color w:val="1F4E78"/>
          <w:sz w:val="17"/>
        </w:rPr>
        <w:t>E → F → G → I</w:t>
      </w:r>
      <w:r>
        <w:rPr>
          <w:sz w:val="18"/>
        </w:rPr>
        <w:t xml:space="preserve"> (12 + 4.8 + 1 + 0 = </w:t>
      </w:r>
      <w:r>
        <w:rPr>
          <w:b/>
          <w:sz w:val="18"/>
        </w:rPr>
        <w:t>17.8 weeks</w:t>
      </w:r>
      <w:r>
        <w:rPr>
          <w:sz w:val="18"/>
        </w:rPr>
        <w:t xml:space="preserve">). Platform path reaches readiness at week 10 and has </w:t>
      </w:r>
      <w:r>
        <w:rPr>
          <w:b/>
          <w:sz w:val="18"/>
        </w:rPr>
        <w:t>7.8 weeks</w:t>
      </w:r>
      <w:r>
        <w:rPr>
          <w:sz w:val="18"/>
        </w:rPr>
        <w:t xml:space="preserve"> of float in this baseline. The non-critical task floats are explicitly shown for A, B, C, D, and H. If platform tasks consume their float or content dates change, recalculate the path.</w:t>
      </w:r>
    </w:p>
    <w:p>
      <w:pPr>
        <w:pStyle w:val="Heading2"/>
      </w:pPr>
      <w:r>
        <w:rPr>
          <w:sz w:val="26"/>
        </w:rPr>
        <w:t>5. Gantt chart (weeks from project start)</w:t>
      </w:r>
    </w:p>
    <w:p>
      <w:r>
        <w:t>Each █ is roughly one week. The diamonds mark zero-duration checkpoints—not extra work.</w:t>
      </w:r>
    </w:p>
    <w:p>
      <w:pPr>
        <w:spacing w:before="40" w:after="120"/>
        <w:ind w:left="230" w:right="144"/>
        <w:shd w:fill="F3F5F7"/>
      </w:pPr>
      <w:r>
        <w:rPr>
          <w:rFonts w:ascii="Consolas" w:hAnsi="Consolas"/>
          <w:color w:val="333333"/>
          <w:sz w:val="16"/>
        </w:rPr>
        <w:t>Week →  0    2    4    6    8    10   12   14   16  17.8</w:t>
        <w:br/>
        <w:t>A Req.  ██████████</w:t>
        <w:br/>
        <w:t>B Design      ██████████</w:t>
        <w:br/>
        <w:t>C Build            ████████████████████</w:t>
        <w:br/>
        <w:t>D QA/UAT                               ██████████</w:t>
        <w:br/>
        <w:t>H Platform ready                                  ◆ (10.0)</w:t>
        <w:br/>
        <w:t>E Record  ██████████████████████████████████████████████████████████</w:t>
        <w:br/>
        <w:t>F Prod.                                                   ████████████████████████</w:t>
        <w:br/>
        <w:t>G Validate                                                                  █████</w:t>
        <w:br/>
        <w:t>I Launch                                                                         ◆ (17.8)</w:t>
      </w:r>
    </w:p>
    <w:p>
      <w:pPr>
        <w:spacing w:after="60"/>
      </w:pPr>
      <w:r>
        <w:rPr>
          <w:b/>
          <w:sz w:val="18"/>
        </w:rPr>
        <w:t>Milestones:</w:t>
      </w:r>
      <w:r>
        <w:rPr>
          <w:sz w:val="18"/>
        </w:rPr>
        <w:t xml:space="preserve"> requirements/design baseline at completion of A/B (week 4); platform ready (week 10); first 8-course content batch ready after validation (week 17.8 in the conservative model); content-backed launch (week 17.8). The milestone times are checkpoints, not durations.</w:t>
      </w:r>
    </w:p>
    <w:p>
      <w:pPr>
        <w:pStyle w:val="Heading2"/>
      </w:pPr>
      <w:r>
        <w:rPr>
          <w:sz w:val="26"/>
        </w:rPr>
        <w:t>6. Resource allocation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1"/>
        <w:gridCol w:w="5602"/>
        <w:gridCol w:w="6403"/>
      </w:tblGrid>
      <w:tr>
        <w:trPr>
          <w:tblHeader w:val="true"/>
        </w:trPr>
        <w:tc>
          <w:tcPr>
            <w:tcW w:type="dxa" w:w="22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Resource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Supplied availability / planned use</w:t>
            </w:r>
          </w:p>
        </w:tc>
        <w:tc>
          <w:tcPr>
            <w:tcW w:type="dxa" w:w="640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Constraint or action</w:t>
            </w:r>
          </w:p>
        </w:tc>
      </w:tr>
      <w:tr>
        <w:tc>
          <w:tcPr>
            <w:tcW w:type="dxa" w:w="22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Editors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2 × 30 hours/week = 60 editor-hours/week shared capacity.</w:t>
            </w:r>
          </w:p>
        </w:tc>
        <w:tc>
          <w:tcPr>
            <w:tcW w:type="dxa" w:w="640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Supplied production-rate arithmetic gives 288 work-hours for 8 courses (4.8 capacity-weeks) and 1,080 for 30 (18 capacity-weeks). Confirm how the combined recording/editing effort maps to editor work; track rework separately.</w:t>
            </w:r>
          </w:p>
        </w:tc>
      </w:tr>
      <w:tr>
        <w:tc>
          <w:tcPr>
            <w:tcW w:type="dxa" w:w="22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7"/>
              </w:rPr>
              <w:t>Faculty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7"/>
              </w:rPr>
              <w:t>Brief says 8 courses can be recorded in the next 3 months.</w:t>
            </w:r>
          </w:p>
        </w:tc>
        <w:tc>
          <w:tcPr>
            <w:tcW w:type="dxa" w:w="640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7"/>
              </w:rPr>
              <w:t>Individual faculty/course dates and hours are not supplied. Obtain named commitments and weekly handoff schedule; escalate any gap.</w:t>
            </w:r>
          </w:p>
        </w:tc>
      </w:tr>
      <w:tr>
        <w:tc>
          <w:tcPr>
            <w:tcW w:type="dxa" w:w="22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IT / engineering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Platform ready in 10 weeks.</w:t>
            </w:r>
          </w:p>
        </w:tc>
        <w:tc>
          <w:tcPr>
            <w:tcW w:type="dxa" w:w="640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Role counts and individual availability are not supplied. Assign owners for each WBS package before baseline.</w:t>
            </w:r>
          </w:p>
        </w:tc>
      </w:tr>
      <w:tr>
        <w:tc>
          <w:tcPr>
            <w:tcW w:type="dxa" w:w="225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7"/>
              </w:rPr>
              <w:t>Director / Centre admin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7"/>
              </w:rPr>
              <w:t>Decision-making, policy approval, course prioritisation and go/no-go.</w:t>
            </w:r>
          </w:p>
        </w:tc>
        <w:tc>
          <w:tcPr>
            <w:tcW w:type="dxa" w:w="640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7"/>
              </w:rPr>
              <w:t>Confirm staged launch, course selection, pricing, certificate policy, and operations owner.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sz w:val="26"/>
        </w:rPr>
        <w:t>7. Launch options and decision gate</w:t>
      </w:r>
    </w:p>
    <w:p>
      <w:pPr>
        <w:pStyle w:val="ListBullet"/>
      </w:pPr>
      <w:r>
        <w:rPr>
          <w:b/>
          <w:sz w:val="18"/>
        </w:rPr>
        <w:t>Option A — Staged release:</w:t>
      </w:r>
      <w:r>
        <w:rPr>
          <w:sz w:val="18"/>
        </w:rPr>
        <w:t xml:space="preserve"> launch a content-ready cohort of up to 8 courses when platform, content, security, and support checks pass. This best matches the stated near-term faculty capacity.</w:t>
      </w:r>
    </w:p>
    <w:p>
      <w:pPr>
        <w:pStyle w:val="ListBullet"/>
      </w:pPr>
      <w:r>
        <w:rPr>
          <w:b/>
          <w:sz w:val="18"/>
        </w:rPr>
        <w:t>Option B — 30-course content-backed launch:</w:t>
      </w:r>
      <w:r>
        <w:rPr>
          <w:sz w:val="18"/>
        </w:rPr>
        <w:t xml:space="preserve"> hold launch until all 30 recordings are ready and edited. The editor-only minimum is </w:t>
      </w:r>
      <w:r>
        <w:rPr>
          <w:b/>
          <w:sz w:val="18"/>
        </w:rPr>
        <w:t>18 capacity-weeks</w:t>
      </w:r>
      <w:r>
        <w:rPr>
          <w:sz w:val="18"/>
        </w:rPr>
        <w:t xml:space="preserve"> once all recordings are ready; faculty capacity for the other 22 courses and timing are not given, so no defensible launch date can be promised.</w:t>
      </w:r>
    </w:p>
    <w:p>
      <w:pPr>
        <w:pStyle w:val="ListBullet"/>
      </w:pPr>
      <w:r>
        <w:rPr>
          <w:b/>
          <w:sz w:val="18"/>
        </w:rPr>
        <w:t>Option C — Platform catalogue for 30, content staged:</w:t>
      </w:r>
      <w:r>
        <w:rPr>
          <w:sz w:val="18"/>
        </w:rPr>
        <w:t xml:space="preserve"> configure the platform for 30 courses while publishing only ready courses. This meets a 30-course technical/catalogue objective, not a 30-course learner-ready objective.</w:t>
      </w:r>
    </w:p>
    <w:p>
      <w:r>
        <w:rPr>
          <w:sz w:val="19"/>
        </w:rPr>
        <w:t>The Director should record which meaning of “30 at launch” is intended. Do not report an unrecorded course as launch-ready.</w:t>
      </w:r>
    </w:p>
    <w:p>
      <w:pPr>
        <w:pStyle w:val="Heading2"/>
      </w:pPr>
      <w:r>
        <w:rPr>
          <w:sz w:val="26"/>
        </w:rPr>
        <w:t>8. Monitoring and change control</w:t>
      </w:r>
    </w:p>
    <w:p>
      <w:r>
        <w:t>At the weekly check-in, compare accepted recordings with the plan, editor hours with the 60-hour weekly capacity, and the platform milestones with their target dates. Review rework, open risks/issues, test readiness, and the current launch forecast. If scope, capacity, or a provider changes, recalculate the network and float before sharing a new date.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93" w:right="792" w:bottom="893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>CourseCraft • Academic case study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573"/>
        <w:sz w:val="16"/>
      </w:rPr>
      <w:t>COURSECRAFT  |  SOFTWARE ENGINEERING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028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