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0"/>
        </w:rPr>
        <w:t>CourseCraft — Risk Register &amp; Closure Note</w:t>
      </w:r>
    </w:p>
    <w:p>
      <w:r>
        <w:rPr>
          <w:b/>
          <w:sz w:val="19"/>
        </w:rPr>
        <w:t>Case Study 108 | Version 1.0 | 1 October 2026</w:t>
      </w:r>
    </w:p>
    <w:p>
      <w:pPr>
        <w:spacing w:after="60"/>
      </w:pPr>
      <w:r>
        <w:rPr>
          <w:b/>
          <w:sz w:val="18"/>
        </w:rPr>
        <w:t>Status:</w:t>
      </w:r>
      <w:r>
        <w:rPr>
          <w:sz w:val="18"/>
        </w:rPr>
        <w:t xml:space="preserve"> Planning-stage risk baseline. No project issue was reported in the brief; the issue log is kept separate and currently has no confirmed entries.</w:t>
      </w:r>
    </w:p>
    <w:p>
      <w:pPr>
        <w:pStyle w:val="Heading2"/>
      </w:pPr>
      <w:r>
        <w:rPr>
          <w:sz w:val="26"/>
        </w:rPr>
        <w:t>1. Risk method</w:t>
      </w:r>
    </w:p>
    <w:p>
      <w:r>
        <w:t>A risk is a problem that might happen; an issue is a problem that has already happened. We score each risk from 1 to 5 for probability and impact, then multiply the scores (P × I) to compare exposure. These ratings help the team prioritise discussion; they are planning judgements, not precise predictions.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1"/>
        <w:gridCol w:w="5945"/>
        <w:gridCol w:w="6939"/>
      </w:tblGrid>
      <w:tr>
        <w:trPr>
          <w:tblHeader w:val="true"/>
        </w:trP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Probability interpretation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Impact interpretation</w:t>
            </w:r>
          </w:p>
        </w:tc>
      </w:tr>
      <w:t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Rare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Negligible; little schedule/scope effect</w:t>
            </w:r>
          </w:p>
        </w:tc>
      </w:tr>
      <w:t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Unlikely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Minor; recoverable within a work package</w:t>
            </w:r>
          </w:p>
        </w:tc>
      </w:tr>
      <w:t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Possible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Moderate; rework or milestone pressure</w:t>
            </w:r>
          </w:p>
        </w:tc>
      </w:tr>
      <w:t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Likely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7"/>
              </w:rPr>
              <w:t>Major; launch, security, or target impact</w:t>
            </w:r>
          </w:p>
        </w:tc>
      </w:tr>
      <w:tr>
        <w:tc>
          <w:tcPr>
            <w:tcW w:type="dxa" w:w="13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59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Almost certain / constraint already strongly indicated</w:t>
            </w:r>
          </w:p>
        </w:tc>
        <w:tc>
          <w:tcPr>
            <w:tcW w:type="dxa" w:w="69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Severe; launch objective cannot be met without a decision/change</w:t>
            </w:r>
          </w:p>
        </w:tc>
      </w:tr>
    </w:tbl>
    <w:p>
      <w:pPr>
        <w:spacing w:after="20"/>
      </w:pPr>
    </w:p>
    <w:p>
      <w:r>
        <w:t>For this draft, exposures of 15–25 are High, 8–14 are Medium, and 1–7 are Low. These bands are proposed and should be confirmed by the project sponsor.</w:t>
      </w:r>
    </w:p>
    <w:p>
      <w:pPr>
        <w:pStyle w:val="Heading2"/>
      </w:pPr>
      <w:r>
        <w:t>2. Main risks, ranked by exposure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5"/>
        <w:gridCol w:w="2769"/>
        <w:gridCol w:w="795"/>
        <w:gridCol w:w="795"/>
        <w:gridCol w:w="932"/>
        <w:gridCol w:w="2769"/>
        <w:gridCol w:w="2632"/>
        <w:gridCol w:w="2769"/>
      </w:tblGrid>
      <w:tr>
        <w:trPr>
          <w:tblHeader w:val="true"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ID / risk event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P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I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Exposure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Response strategy and actions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Trigger / review point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1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R-01 Faculty recording delay: the brief supports 8 courses in 3 months, while the launch target is 30. Late handoffs could leave courses without ready content.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25 High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Agree named handoff dates and define whether launch means 8 ready courses or 30. Track content separately from software; publish only accepted courses. If recordings slip, stage the launch or rebaseline.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Director (accountable); faculty leads (content); project manager (schedule)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No course commitments, a late handoff, or unresolved launch definition. Review weekly.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2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R-03 Launch-scope mismatch: the platform may be ready at week 10 while content for a 30-course launch is still in production.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b/>
                <w:sz w:val="14"/>
              </w:rPr>
              <w:t>20 High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Decide in writing whether 30 means catalogue entries or fully ready courses. Track both readiness gates; stage the release or rebaseline if 30 ready courses are required.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Director (decision); project manager (control)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The meaning of “30 at launch” is unclear, or platform and content readiness diverge. Review at steering checkpoints.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R-02 Editor workload or rework: late or rejected recordings could exceed the editors’ shared 60 hours per week and delay publication.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16 High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Book editor time, use agreed asset checklists, batch work where possible, and track effort/rework. If the queue grows, reprioritise or revise dates; extra capacity needs approval.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Content production lead / editor lead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Actual hours exceed plan, assets are repeatedly rejected, or the queue exceeds available editor time. Review weekly.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R-04 Payment integration failure: provider or callback errors could give a learner the wrong access status or require manual reconciliation.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b/>
                <w:sz w:val="14"/>
              </w:rPr>
              <w:t>15 High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Test and verify callbacks; handle duplicates safely; reconcile provider references. If payment cannot be verified, pause access and use the approved reconciliation process.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IT integration lead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Provider decision is late, callback tests fail, or payment and enrolment records do not match. Review during integration.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R-05 Certificate rules are unclear: pass, retake, refund, or completion uncertainty could lead to inconsistent awards or learner disputes.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15 High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Approve and version the 70% rule and exceptions; test boundary cases. Hold automatic certificate issue until policy is clear; send exceptions to authorised review.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Director / academic policy owner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The threshold or certificate rules are not approved before testing, or stakeholders disagree. Review before UAT.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6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R-06 Video service trouble: an outage, slow playback, or weak access protection could disrupt lessons or expose content.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b/>
                <w:sz w:val="14"/>
              </w:rPr>
              <w:t>12 Medium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Test availability and access controls; monitor the pilot. If lessons fail, pause the affected course content and follow the approved learner communication plan.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IT service owner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Playback misses its target, errors repeat, or an access-control issue is found. Review during the pilot.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7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R-07 Security or privacy gap: a late policy/control issue could delay release or expose learner or payment information.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2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sz w:val="14"/>
              </w:rPr>
              <w:t>10 Medium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Confirm policy and data ownership early; limit data collection; secure access and connections; test recovery. Block launch for unresolved critical findings.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IT/security owner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t>Policy remains unknown, a critical/high scan finding appears, or an access test fails. Review at each release gate.</w:t>
            </w:r>
          </w:p>
        </w:tc>
      </w:tr>
      <w:tr>
        <w:trPr>
          <w:cantSplit/>
        </w:trPr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8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R-08 Revenue scenario mistaken for a promise: gross targets may be presented as actual or guaranteed income.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7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9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b/>
                <w:sz w:val="14"/>
              </w:rPr>
              <w:t>9 Medium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Label the figures as target-based scenarios. Track actual enrolments and costs separately, update projections with observed data, and avoid spending against unverified revenue.</w:t>
            </w:r>
          </w:p>
        </w:tc>
        <w:tc>
          <w:tcPr>
            <w:tcW w:type="dxa" w:w="26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4"/>
              </w:rPr>
              <w:t>Director / finance owner</w:t>
            </w:r>
          </w:p>
        </w:tc>
        <w:tc>
          <w:tcPr>
            <w:tcW w:type="dxa" w:w="27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t>A scenario is reported as committed revenue, or enrolments differ from target. Review monthly after launch.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sz w:val="21"/>
        </w:rPr>
        <w:t>2.1 Risk review cadence</w:t>
      </w:r>
    </w:p>
    <w:p>
      <w:r>
        <w:t>Review high-exposure risks each week and at the scope, content, integration, UAT, and go/no-go checkpoints. If a risk happens, open an issue with an owner and next action. Keep the risk entry too if there is still a chance of further impact.</w:t>
      </w:r>
    </w:p>
    <w:p>
      <w:pPr>
        <w:pStyle w:val="Heading2"/>
      </w:pPr>
      <w:r>
        <w:rPr>
          <w:sz w:val="26"/>
        </w:rPr>
        <w:t>3. Probability-impact matrix</w:t>
      </w:r>
    </w:p>
    <w:p>
      <w:r>
        <w:rPr>
          <w:sz w:val="19"/>
        </w:rPr>
        <w:t>Cells list risk IDs at their current qualitative ratings.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9"/>
        <w:gridCol w:w="1505"/>
        <w:gridCol w:w="1737"/>
        <w:gridCol w:w="1737"/>
        <w:gridCol w:w="1505"/>
        <w:gridCol w:w="4873"/>
      </w:tblGrid>
      <w:tr>
        <w:trPr>
          <w:tblHeader w:val="true"/>
        </w:trP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Impact \ Probability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1 Rare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2 Unlikely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3 Possible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4 Likely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5 Almost certain / strongly indicated</w:t>
            </w:r>
          </w:p>
        </w:tc>
      </w:tr>
      <w:t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5 Severe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R-07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R-04, R-05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R-03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R-01</w:t>
            </w:r>
          </w:p>
        </w:tc>
      </w:tr>
      <w:t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4 Major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R-06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R-02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3 Moderate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R-08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2 Minor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 Negligible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7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150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  <w:tc>
          <w:tcPr>
            <w:tcW w:type="dxa" w:w="48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t>4. Top-three risks: mitigation, monitoring, and management (RMMM)</w:t>
      </w:r>
    </w:p>
    <w:p>
      <w:pPr>
        <w:pStyle w:val="Heading3"/>
        <w:keepNext/>
      </w:pPr>
      <w:r>
        <w:rPr>
          <w:sz w:val="21"/>
        </w:rPr>
        <w:t>R-01 — Faculty availability and content shortfall</w:t>
      </w:r>
    </w:p>
    <w:p>
      <w:pPr>
        <w:pStyle w:val="ListBullet"/>
      </w:pPr>
      <w:r>
        <w:rPr>
          <w:b/>
          <w:sz w:val="18"/>
        </w:rPr>
        <w:t>Risk mitigation:</w:t>
      </w:r>
      <w:r>
        <w:rPr>
          <w:sz w:val="18"/>
        </w:rPr>
        <w:t xml:space="preserve"> obtain a course-by-course commitment and a rolling recording/handoff calendar; identify a faculty contact and backup for each course; track accepted content, not just scheduled sessions.</w:t>
      </w:r>
    </w:p>
    <w:p>
      <w:pPr>
        <w:pStyle w:val="ListBullet"/>
      </w:pPr>
      <w:r>
        <w:rPr>
          <w:b/>
          <w:sz w:val="18"/>
        </w:rPr>
        <w:t>Monitoring:</w:t>
      </w:r>
      <w:r>
        <w:rPr>
          <w:sz w:val="18"/>
        </w:rPr>
        <w:t xml:space="preserve"> weekly planned-versus-actual course recording and acceptance count; escalate any missed handoff immediately.</w:t>
      </w:r>
    </w:p>
    <w:p>
      <w:pPr>
        <w:pStyle w:val="ListBullet"/>
      </w:pPr>
      <w:r>
        <w:rPr>
          <w:b/>
          <w:sz w:val="18"/>
        </w:rPr>
        <w:t>Management/contingency:</w:t>
      </w:r>
      <w:r>
        <w:rPr>
          <w:sz w:val="18"/>
        </w:rPr>
        <w:t xml:space="preserve"> Director chooses a staged 8-course launch, a changed scope/date, or formally approved additional capacity. Do not assume faculty can deliver the other 22 courses without evidence.</w:t>
      </w:r>
    </w:p>
    <w:p>
      <w:pPr>
        <w:pStyle w:val="ListBullet"/>
      </w:pPr>
      <w:r>
        <w:rPr>
          <w:b/>
          <w:sz w:val="18"/>
        </w:rPr>
        <w:t>Owner:</w:t>
      </w:r>
      <w:r>
        <w:rPr>
          <w:sz w:val="18"/>
        </w:rPr>
        <w:t xml:space="preserve"> Director accountable; faculty leads responsible for content commitments; PM maintains forecast.</w:t>
      </w:r>
    </w:p>
    <w:p>
      <w:pPr>
        <w:pStyle w:val="Heading3"/>
      </w:pPr>
      <w:r>
        <w:rPr>
          <w:sz w:val="21"/>
        </w:rPr>
        <w:t>R-03 — Launch expectation and readiness mismatch</w:t>
      </w:r>
    </w:p>
    <w:p>
      <w:pPr>
        <w:pStyle w:val="ListBullet"/>
      </w:pPr>
      <w:r>
        <w:rPr>
          <w:b/>
          <w:sz w:val="18"/>
        </w:rPr>
        <w:t>Risk mitigation:</w:t>
      </w:r>
      <w:r>
        <w:rPr>
          <w:sz w:val="18"/>
        </w:rPr>
        <w:t xml:space="preserve"> decide in writing whether “30 at launch” means catalogue entries or 30 complete, learner-ready courses; keep platform-ready and content-ready milestones separate; include content readiness in go/no-go.</w:t>
      </w:r>
    </w:p>
    <w:p>
      <w:pPr>
        <w:pStyle w:val="ListBullet"/>
      </w:pPr>
      <w:r>
        <w:rPr>
          <w:b/>
          <w:sz w:val="18"/>
        </w:rPr>
        <w:t>Monitoring:</w:t>
      </w:r>
      <w:r>
        <w:rPr>
          <w:sz w:val="18"/>
        </w:rPr>
        <w:t xml:space="preserve"> show week-10 platform status beside faculty/editor content forecast at every steering review.</w:t>
      </w:r>
    </w:p>
    <w:p>
      <w:pPr>
        <w:pStyle w:val="ListBullet"/>
      </w:pPr>
      <w:r>
        <w:rPr>
          <w:b/>
          <w:sz w:val="18"/>
        </w:rPr>
        <w:t>Management/contingency:</w:t>
      </w:r>
      <w:r>
        <w:rPr>
          <w:sz w:val="18"/>
        </w:rPr>
        <w:t xml:space="preserve"> if 30 recorded courses remain mandatory, rebaseline the launch only after a feasible content plan is agreed; otherwise approve staged release.</w:t>
      </w:r>
    </w:p>
    <w:p>
      <w:pPr>
        <w:pStyle w:val="ListBullet"/>
      </w:pPr>
      <w:r>
        <w:rPr>
          <w:b/>
          <w:sz w:val="18"/>
        </w:rPr>
        <w:t>Owner:</w:t>
      </w:r>
      <w:r>
        <w:rPr>
          <w:sz w:val="18"/>
        </w:rPr>
        <w:t xml:space="preserve"> Director for scope decision; PM for baseline and reporting.</w:t>
      </w:r>
    </w:p>
    <w:p>
      <w:pPr>
        <w:pStyle w:val="Heading3"/>
      </w:pPr>
      <w:r>
        <w:rPr>
          <w:sz w:val="21"/>
        </w:rPr>
        <w:t>R-02 — Editor capacity and rework</w:t>
      </w:r>
    </w:p>
    <w:p>
      <w:pPr>
        <w:pStyle w:val="ListBullet"/>
      </w:pPr>
      <w:r>
        <w:rPr>
          <w:b/>
          <w:sz w:val="18"/>
        </w:rPr>
        <w:t>Risk mitigation:</w:t>
      </w:r>
      <w:r>
        <w:rPr>
          <w:sz w:val="18"/>
        </w:rPr>
        <w:t xml:space="preserve"> reserve the supplied 60 editor-hours/week; agree source format, naming, metadata, and quality checks before faculty recording; process batches where possible; capture actual effort per accepted course.</w:t>
      </w:r>
    </w:p>
    <w:p>
      <w:pPr>
        <w:pStyle w:val="ListBullet"/>
      </w:pPr>
      <w:r>
        <w:rPr>
          <w:b/>
          <w:sz w:val="18"/>
        </w:rPr>
        <w:t>Monitoring:</w:t>
      </w:r>
      <w:r>
        <w:rPr>
          <w:sz w:val="18"/>
        </w:rPr>
        <w:t xml:space="preserve"> weekly hours consumed, queue size, rejection/rework rate, and forecast finish.</w:t>
      </w:r>
    </w:p>
    <w:p>
      <w:pPr>
        <w:pStyle w:val="ListBullet"/>
      </w:pPr>
      <w:r>
        <w:rPr>
          <w:b/>
          <w:sz w:val="18"/>
        </w:rPr>
        <w:t>Management/contingency:</w:t>
      </w:r>
      <w:r>
        <w:rPr>
          <w:sz w:val="18"/>
        </w:rPr>
        <w:t xml:space="preserve"> reprioritise content cohort or reforecast; any added editor capacity requires an approved resource decision, not an assumed plan.</w:t>
      </w:r>
    </w:p>
    <w:p>
      <w:pPr>
        <w:pStyle w:val="ListBullet"/>
      </w:pPr>
      <w:r>
        <w:rPr>
          <w:b/>
          <w:sz w:val="18"/>
        </w:rPr>
        <w:t>Owner:</w:t>
      </w:r>
      <w:r>
        <w:rPr>
          <w:sz w:val="18"/>
        </w:rPr>
        <w:t xml:space="preserve"> Editor/content production lead.</w:t>
      </w:r>
    </w:p>
    <w:p>
      <w:pPr>
        <w:pStyle w:val="Heading2"/>
        <w:keepNext/>
      </w:pPr>
      <w:r>
        <w:rPr>
          <w:sz w:val="26"/>
        </w:rPr>
        <w:t>5. Issue log (events already occurred)</w:t>
      </w:r>
    </w:p>
    <w:p>
      <w:pPr>
        <w:keepNext/>
      </w:pPr>
      <w:r>
        <w:rPr>
          <w:sz w:val="19"/>
        </w:rPr>
        <w:t>No actual project problems were reported in the supplied case. Do not copy future risks into this table as if they have happened. Open a row only when an event is observed.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2"/>
        <w:gridCol w:w="3178"/>
        <w:gridCol w:w="2311"/>
        <w:gridCol w:w="1072"/>
        <w:gridCol w:w="3798"/>
        <w:gridCol w:w="1072"/>
        <w:gridCol w:w="1753"/>
      </w:tblGrid>
      <w:tr>
        <w:trPr>
          <w:tblHeader w:val="true"/>
        </w:trPr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Issue ID</w:t>
            </w:r>
          </w:p>
        </w:tc>
        <w:tc>
          <w:tcPr>
            <w:tcW w:type="dxa" w:w="3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Date raised</w:t>
            </w:r>
          </w:p>
        </w:tc>
        <w:tc>
          <w:tcPr>
            <w:tcW w:type="dxa" w:w="231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Occurred event / impact</w:t>
            </w:r>
          </w:p>
        </w:tc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7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Immediate action</w:t>
            </w:r>
          </w:p>
        </w:tc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Due date</w:t>
            </w:r>
          </w:p>
        </w:tc>
        <w:tc>
          <w:tcPr>
            <w:tcW w:type="dxa" w:w="17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4"/>
              </w:rPr>
              <w:t>Status / resolution</w:t>
            </w:r>
          </w:p>
        </w:tc>
      </w:tr>
      <w:tr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3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None reported as of this planning baseline</w:t>
            </w:r>
          </w:p>
        </w:tc>
        <w:tc>
          <w:tcPr>
            <w:tcW w:type="dxa" w:w="231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confirmed issues supplied</w:t>
            </w:r>
          </w:p>
        </w:tc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37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Populate during project execution if an issue occurs</w:t>
            </w:r>
          </w:p>
        </w:tc>
        <w:tc>
          <w:tcPr>
            <w:tcW w:type="dxa" w:w="10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  <w:tc>
          <w:tcPr>
            <w:tcW w:type="dxa" w:w="17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Not applicable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sz w:val="26"/>
        </w:rPr>
        <w:t>6. Closure note and lessons learned</w:t>
      </w:r>
    </w:p>
    <w:p>
      <w:pPr>
        <w:pStyle w:val="Heading3"/>
      </w:pPr>
      <w:r>
        <w:rPr>
          <w:sz w:val="21"/>
        </w:rPr>
        <w:t>Current closure status</w:t>
      </w:r>
    </w:p>
    <w:p>
      <w:r>
        <w:t>This note closes the planning exercise only; it does not mean a live CourseCraft project has finished. No deployment, stakeholder workshop, executed test run, confirmed defect log, or actual enrolment results were provided, so none are reported as outcomes.</w:t>
      </w:r>
    </w:p>
    <w:p>
      <w:pPr>
        <w:pStyle w:val="Heading3"/>
      </w:pPr>
      <w:r>
        <w:t>What we learned from this planning exercise</w:t>
      </w:r>
    </w:p>
    <w:p>
      <w:pPr>
        <w:pStyle w:val="ListNumber"/>
      </w:pPr>
      <w:r>
        <w:rPr>
          <w:b/>
          <w:sz w:val="18"/>
        </w:rPr>
        <w:t>Treat content as a first-class dependency.</w:t>
      </w:r>
      <w:r>
        <w:rPr>
          <w:sz w:val="18"/>
        </w:rPr>
        <w:t xml:space="preserve"> A technically ready platform does not constitute a learner-ready launch when courses lack recordings.</w:t>
      </w:r>
    </w:p>
    <w:p>
      <w:pPr>
        <w:pStyle w:val="ListNumber"/>
      </w:pPr>
      <w:r>
        <w:rPr>
          <w:b/>
          <w:sz w:val="18"/>
        </w:rPr>
        <w:t>Separate demand ambition from committed capacity.</w:t>
      </w:r>
      <w:r>
        <w:rPr>
          <w:sz w:val="18"/>
        </w:rPr>
        <w:t xml:space="preserve"> The 30-course goal and 8-course recording capacity must be resolved by a sponsor decision, not hidden in a software schedule.</w:t>
      </w:r>
    </w:p>
    <w:p>
      <w:pPr>
        <w:pStyle w:val="ListNumber"/>
      </w:pPr>
      <w:r>
        <w:rPr>
          <w:b/>
          <w:sz w:val="18"/>
        </w:rPr>
        <w:t>Show arithmetic and assumptions.</w:t>
      </w:r>
      <w:r>
        <w:rPr>
          <w:sz w:val="18"/>
        </w:rPr>
        <w:t xml:space="preserve"> The 4.8-week and 18-week figures are editor-capacity calculations; faculty handoff, validation, and rework affect elapsed dates.</w:t>
      </w:r>
    </w:p>
    <w:p>
      <w:pPr>
        <w:pStyle w:val="ListNumber"/>
      </w:pPr>
      <w:r>
        <w:rPr>
          <w:b/>
          <w:sz w:val="18"/>
        </w:rPr>
        <w:t>Design integrations behind interfaces.</w:t>
      </w:r>
      <w:r>
        <w:rPr>
          <w:sz w:val="18"/>
        </w:rPr>
        <w:t xml:space="preserve"> Payment and video providers are external dependencies; adapters keep provider change from spreading into course and certificate rules.</w:t>
      </w:r>
    </w:p>
    <w:p>
      <w:pPr>
        <w:pStyle w:val="ListNumber"/>
      </w:pPr>
      <w:r>
        <w:rPr>
          <w:b/>
          <w:sz w:val="18"/>
        </w:rPr>
        <w:t>Make certificate decisions auditable.</w:t>
      </w:r>
      <w:r>
        <w:rPr>
          <w:sz w:val="18"/>
        </w:rPr>
        <w:t xml:space="preserve"> Explicit conditions, a decision table, idempotent issuance, and negative tests reduce disputes and accidental awards.</w:t>
      </w:r>
    </w:p>
    <w:p>
      <w:pPr>
        <w:pStyle w:val="ListNumber"/>
      </w:pPr>
      <w:r>
        <w:rPr>
          <w:b/>
          <w:sz w:val="18"/>
        </w:rPr>
        <w:t>Do not invent quality evidence.</w:t>
      </w:r>
      <w:r>
        <w:rPr>
          <w:sz w:val="18"/>
        </w:rPr>
        <w:t xml:space="preserve"> DRE and defect density need an executed defect log and code-size baseline; until then, report them as not measurable.</w:t>
      </w:r>
    </w:p>
    <w:p>
      <w:pPr>
        <w:pStyle w:val="Heading3"/>
      </w:pPr>
      <w:r>
        <w:t>Before a real handover</w:t>
      </w:r>
    </w:p>
    <w:p>
      <w:pPr>
        <w:pStyle w:val="ListBullet"/>
      </w:pPr>
      <w:r>
        <w:rPr>
          <w:sz w:val="18"/>
        </w:rPr>
        <w:t>Confirm the Director’s launch definition and approved course cohort.</w:t>
      </w:r>
    </w:p>
    <w:p>
      <w:pPr>
        <w:pStyle w:val="ListBullet"/>
      </w:pPr>
      <w:r>
        <w:rPr>
          <w:sz w:val="18"/>
        </w:rPr>
        <w:t>Approve certificate, refund, retake, privacy, accessibility, and retention rules.</w:t>
      </w:r>
    </w:p>
    <w:p>
      <w:pPr>
        <w:pStyle w:val="ListBullet"/>
      </w:pPr>
      <w:r>
        <w:rPr>
          <w:sz w:val="18"/>
        </w:rPr>
        <w:t>Record actual faculty commitments, accepted content dates, editor effort, and release approvals.</w:t>
      </w:r>
    </w:p>
    <w:p>
      <w:pPr>
        <w:pStyle w:val="ListBullet"/>
      </w:pPr>
      <w:r>
        <w:rPr>
          <w:sz w:val="18"/>
        </w:rPr>
        <w:t>Execute the Test Plan, publish real defect metrics, and retain traceable evidence.</w:t>
      </w:r>
    </w:p>
    <w:p>
      <w:pPr>
        <w:pStyle w:val="ListBullet"/>
      </w:pPr>
      <w:r>
        <w:rPr>
          <w:sz w:val="18"/>
        </w:rPr>
        <w:t>Capture actual schedule/cost/scope outcomes and replace anticipated lessons with observed lessons after the release review.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CourseCraft • Academic case study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COURSECRAFT  |  SOFTWARE ENGINEERING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