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0"/>
        </w:rPr>
        <w:t>CourseCraft — Software Requirements Specification</w:t>
      </w:r>
    </w:p>
    <w:p>
      <w:r>
        <w:rPr>
          <w:b/>
          <w:sz w:val="19"/>
        </w:rPr>
        <w:t>Case Study 108 | Continuing Education Online Course Platform</w:t>
      </w:r>
    </w:p>
    <w:p>
      <w:pPr>
        <w:spacing w:after="60"/>
      </w:pPr>
      <w:r>
        <w:rPr>
          <w:b/>
          <w:sz w:val="18"/>
        </w:rPr>
        <w:t>Prepared for:</w:t>
      </w:r>
      <w:r>
        <w:rPr>
          <w:sz w:val="18"/>
        </w:rPr>
        <w:t xml:space="preserve"> University Continuing Education Centre</w:t>
      </w:r>
    </w:p>
    <w:p>
      <w:pPr>
        <w:spacing w:after="60"/>
      </w:pPr>
      <w:r>
        <w:rPr>
          <w:b/>
          <w:sz w:val="18"/>
        </w:rPr>
        <w:t>Course context:</w:t>
      </w:r>
      <w:r>
        <w:rPr>
          <w:sz w:val="18"/>
        </w:rPr>
        <w:t xml:space="preserve"> B.Tech CSE 2025–29 · Software Engineering &amp; Project Management · Semester III</w:t>
      </w:r>
    </w:p>
    <w:p>
      <w:pPr>
        <w:spacing w:after="60"/>
      </w:pPr>
      <w:r>
        <w:rPr>
          <w:b/>
          <w:sz w:val="18"/>
        </w:rPr>
        <w:t>Status:</w:t>
      </w:r>
      <w:r>
        <w:rPr>
          <w:sz w:val="18"/>
        </w:rPr>
        <w:t xml:space="preserve"> Academic project baseline; proposed requirements for stakeholder validation</w:t>
      </w:r>
    </w:p>
    <w:p>
      <w:pPr>
        <w:spacing w:after="60"/>
      </w:pPr>
      <w:r>
        <w:rPr>
          <w:b/>
          <w:sz w:val="18"/>
        </w:rPr>
        <w:t>Version:</w:t>
      </w:r>
      <w:r>
        <w:rPr>
          <w:sz w:val="18"/>
        </w:rPr>
        <w:t xml:space="preserve"> 1.0 · </w:t>
      </w:r>
      <w:r>
        <w:rPr>
          <w:b/>
          <w:sz w:val="18"/>
        </w:rPr>
        <w:t>Date:</w:t>
      </w:r>
      <w:r>
        <w:rPr>
          <w:sz w:val="18"/>
        </w:rPr>
        <w:t xml:space="preserve"> 1 October 2026</w:t>
      </w:r>
    </w:p>
    <w:p>
      <w:pPr>
        <w:pStyle w:val="Heading2"/>
      </w:pPr>
      <w:r>
        <w:rPr>
          <w:sz w:val="26"/>
        </w:rPr>
        <w:t>Document purpose and conventions</w:t>
      </w:r>
    </w:p>
    <w:p>
      <w:r>
        <w:t>This document gives the Continuing Education Centre, learners, faculty, editors, and IT team a shared picture of what CourseCraft should do in its first release. It follows an IEEE 830-style structure and keeps facts from the case separate from recommended targets and assumptions. Every functional requirement links to a test. Proposed security, video, and scalability targets are measurable, but still need the Centre’s approval.</w:t>
      </w:r>
    </w:p>
    <w:p>
      <w:pPr>
        <w:pStyle w:val="Heading2"/>
      </w:pPr>
      <w:r>
        <w:rPr>
          <w:sz w:val="26"/>
        </w:rPr>
        <w:t>1. Introduction</w:t>
      </w:r>
    </w:p>
    <w:p>
      <w:pPr>
        <w:pStyle w:val="Heading3"/>
      </w:pPr>
      <w:r>
        <w:rPr>
          <w:sz w:val="21"/>
        </w:rPr>
        <w:t>1.1 Purpose</w:t>
      </w:r>
    </w:p>
    <w:p>
      <w:r>
        <w:rPr>
          <w:sz w:val="19"/>
        </w:rPr>
        <w:t>CourseCraft will support the Continuing Education Centre in offering short online courses to working professionals. It will provide course discovery and enrolment, payment confirmation, video lessons, quizzes, completion tracking, certificates, and faculty dashboards. This document defines what the first release should do and how its requirements will be verified.</w:t>
      </w:r>
    </w:p>
    <w:p>
      <w:pPr>
        <w:pStyle w:val="Heading3"/>
      </w:pPr>
      <w:r>
        <w:rPr>
          <w:sz w:val="21"/>
        </w:rPr>
        <w:t>1.2 Scope</w:t>
      </w:r>
    </w:p>
    <w:p>
      <w:r>
        <w:t>CourseCraft gives learners one place to find a course, enrol and pay, watch faculty videos, complete quizzes, track progress, and earn and verify a certificate. Faculty and editors manage course information and learning content; Centre leaders use dashboards to follow enrolments, content readiness, and service quality. The platform must support a catalogue of 30 courses, while the number of courses that can be ready with recordings at launch depends on faculty availability.</w:t>
      </w:r>
    </w:p>
    <w:p>
      <w:r>
        <w:rPr>
          <w:sz w:val="19"/>
        </w:rPr>
        <w:t xml:space="preserve">The scope does </w:t>
      </w:r>
      <w:r>
        <w:rPr>
          <w:b/>
          <w:sz w:val="19"/>
        </w:rPr>
        <w:t>not</w:t>
      </w:r>
      <w:r>
        <w:rPr>
          <w:sz w:val="19"/>
        </w:rPr>
        <w:t xml:space="preserve"> assume the IT team can create faculty recordings. Faculty recording availability and editor capacity are external dependencies. The brief asks for 30 courses at launch, but says faculty can record only 8 in the next three months. This SRS therefore distinguishes the </w:t>
      </w:r>
      <w:r>
        <w:rPr>
          <w:b/>
          <w:sz w:val="19"/>
        </w:rPr>
        <w:t>technical platform target</w:t>
      </w:r>
      <w:r>
        <w:rPr>
          <w:sz w:val="19"/>
        </w:rPr>
        <w:t xml:space="preserve"> (support 30 courses) from the </w:t>
      </w:r>
      <w:r>
        <w:rPr>
          <w:b/>
          <w:sz w:val="19"/>
        </w:rPr>
        <w:t>content-backed initial release</w:t>
      </w:r>
      <w:r>
        <w:rPr>
          <w:sz w:val="19"/>
        </w:rPr>
        <w:t xml:space="preserve"> (up to 8 courses, subject to readiness and approval). The conflict requires a Director decision; the requirements do not silently promise 30 recorded courses by launch.</w:t>
      </w:r>
    </w:p>
    <w:p>
      <w:pPr>
        <w:pStyle w:val="Heading3"/>
      </w:pPr>
      <w:r>
        <w:rPr>
          <w:sz w:val="21"/>
        </w:rPr>
        <w:t>1.3 Intended audience</w:t>
      </w:r>
    </w:p>
    <w:p>
      <w:r>
        <w:rPr>
          <w:sz w:val="19"/>
        </w:rPr>
        <w:t>Director and centre administrators; learners; faculty; content editors; university IT/security staff; project team; and testers.</w:t>
      </w:r>
    </w:p>
    <w:p>
      <w:pPr>
        <w:pStyle w:val="Heading3"/>
      </w:pPr>
      <w:r>
        <w:rPr>
          <w:sz w:val="21"/>
        </w:rPr>
        <w:t>1.4 Terms and abbreviations</w:t>
      </w:r>
    </w:p>
    <w:p>
      <w:pPr>
        <w:pStyle w:val="ListBullet"/>
      </w:pPr>
      <w:r>
        <w:rPr>
          <w:b/>
          <w:sz w:val="18"/>
        </w:rPr>
        <w:t>FR / NFR:</w:t>
      </w:r>
      <w:r>
        <w:rPr>
          <w:sz w:val="18"/>
        </w:rPr>
        <w:t xml:space="preserve"> functional / non-functional requirement.</w:t>
      </w:r>
    </w:p>
    <w:p>
      <w:pPr>
        <w:pStyle w:val="ListBullet"/>
      </w:pPr>
      <w:r>
        <w:rPr>
          <w:b/>
          <w:sz w:val="18"/>
        </w:rPr>
        <w:t>MoSCoW:</w:t>
      </w:r>
      <w:r>
        <w:rPr>
          <w:sz w:val="18"/>
        </w:rPr>
        <w:t xml:space="preserve"> Must, Should, Could, Won’t (for this release).</w:t>
      </w:r>
    </w:p>
    <w:p>
      <w:pPr>
        <w:pStyle w:val="ListBullet"/>
      </w:pPr>
      <w:r>
        <w:rPr>
          <w:b/>
          <w:sz w:val="18"/>
        </w:rPr>
        <w:t>KLOC:</w:t>
      </w:r>
      <w:r>
        <w:rPr>
          <w:sz w:val="18"/>
        </w:rPr>
        <w:t xml:space="preserve"> one thousand delivered source lines of code.</w:t>
      </w:r>
    </w:p>
    <w:p>
      <w:pPr>
        <w:pStyle w:val="ListBullet"/>
      </w:pPr>
      <w:r>
        <w:rPr>
          <w:b/>
          <w:sz w:val="18"/>
        </w:rPr>
        <w:t>Completion:</w:t>
      </w:r>
      <w:r>
        <w:rPr>
          <w:sz w:val="18"/>
        </w:rPr>
        <w:t xml:space="preserve"> percentage of required course lessons recorded as completed by the learner.</w:t>
      </w:r>
    </w:p>
    <w:p>
      <w:pPr>
        <w:pStyle w:val="ListBullet"/>
      </w:pPr>
      <w:r>
        <w:rPr>
          <w:b/>
          <w:sz w:val="18"/>
        </w:rPr>
        <w:t>Certificate eligibility:</w:t>
      </w:r>
      <w:r>
        <w:rPr>
          <w:sz w:val="18"/>
        </w:rPr>
        <w:t xml:space="preserve"> meeting the approved enrolment, completion, and assessment rules in Section 5.3.</w:t>
      </w:r>
    </w:p>
    <w:p>
      <w:pPr>
        <w:pStyle w:val="Heading2"/>
      </w:pPr>
      <w:r>
        <w:rPr>
          <w:sz w:val="26"/>
        </w:rPr>
        <w:t>2. Overall description</w:t>
      </w:r>
    </w:p>
    <w:p>
      <w:pPr>
        <w:pStyle w:val="Heading3"/>
      </w:pPr>
      <w:r>
        <w:rPr>
          <w:sz w:val="21"/>
        </w:rPr>
        <w:t>2.1 Product perspective</w:t>
      </w:r>
    </w:p>
    <w:p>
      <w:r>
        <w:t>Learners, faculty, editors, and administrators use browser-based dashboards. Behind those screens, CourseCraft manages courses, enrolments, progress, quizzes, and certificates, and connects to separate payment and video services. Those external services can be changed without rewriting the university’s course or certificate rules.</w:t>
      </w:r>
    </w:p>
    <w:p>
      <w:pPr>
        <w:pStyle w:val="Heading3"/>
      </w:pPr>
      <w:r>
        <w:rPr>
          <w:sz w:val="21"/>
        </w:rPr>
        <w:t>2.2 User classes</w:t>
      </w:r>
    </w:p>
    <w:tbl>
      <w:tblPr>
        <w:tblStyle w:val="TableGrid"/>
        <w:tblW w:type="auto" w:w="0"/>
        <w:jc w:val="center"/>
        <w:tblLayout w:type="fixed"/>
        <w:tblLook w:firstColumn="1" w:firstRow="1" w:lastColumn="0" w:lastRow="0" w:noHBand="0" w:noVBand="1" w:val="04A0"/>
      </w:tblPr>
      <w:tblGrid>
        <w:gridCol w:w="3144"/>
        <w:gridCol w:w="7022"/>
      </w:tblGrid>
      <w:tr>
        <w:trPr>
          <w:tblHeader w:val="true"/>
        </w:trPr>
        <w:tc>
          <w:tcPr>
            <w:tcW w:type="dxa" w:w="3144"/>
            <w:vAlign w:val="center"/>
            <w:tcMar>
              <w:top w:w="70" w:type="dxa"/>
              <w:start w:w="85" w:type="dxa"/>
              <w:bottom w:w="70" w:type="dxa"/>
              <w:end w:w="85" w:type="dxa"/>
            </w:tcMar>
            <w:shd w:fill="17365D"/>
          </w:tcPr>
          <w:p>
            <w:pPr>
              <w:spacing w:after="0" w:before="0"/>
            </w:pPr>
            <w:r>
              <w:rPr>
                <w:b/>
                <w:color w:val="FFFFFF"/>
                <w:sz w:val="17"/>
              </w:rPr>
              <w:t>User class</w:t>
            </w:r>
          </w:p>
        </w:tc>
        <w:tc>
          <w:tcPr>
            <w:tcW w:type="dxa" w:w="7022"/>
            <w:vAlign w:val="center"/>
            <w:tcMar>
              <w:top w:w="70" w:type="dxa"/>
              <w:start w:w="85" w:type="dxa"/>
              <w:bottom w:w="70" w:type="dxa"/>
              <w:end w:w="85" w:type="dxa"/>
            </w:tcMar>
            <w:shd w:fill="17365D"/>
          </w:tcPr>
          <w:p>
            <w:pPr>
              <w:spacing w:after="0" w:before="0"/>
            </w:pPr>
            <w:r>
              <w:rPr>
                <w:b/>
                <w:color w:val="FFFFFF"/>
                <w:sz w:val="17"/>
              </w:rPr>
              <w:t>Main needs</w:t>
            </w:r>
          </w:p>
        </w:tc>
      </w:tr>
      <w:tr>
        <w:tc>
          <w:tcPr>
            <w:tcW w:type="dxa" w:w="3144"/>
            <w:vAlign w:val="center"/>
            <w:tcMar>
              <w:top w:w="70" w:type="dxa"/>
              <w:start w:w="85" w:type="dxa"/>
              <w:bottom w:w="70" w:type="dxa"/>
              <w:end w:w="85" w:type="dxa"/>
            </w:tcMar>
          </w:tcPr>
          <w:p>
            <w:pPr>
              <w:spacing w:after="0" w:before="0"/>
            </w:pPr>
            <w:r>
              <w:rPr>
                <w:sz w:val="17"/>
              </w:rPr>
              <w:t>Learner</w:t>
            </w:r>
          </w:p>
        </w:tc>
        <w:tc>
          <w:tcPr>
            <w:tcW w:type="dxa" w:w="7022"/>
            <w:vAlign w:val="center"/>
            <w:tcMar>
              <w:top w:w="70" w:type="dxa"/>
              <w:start w:w="85" w:type="dxa"/>
              <w:bottom w:w="70" w:type="dxa"/>
              <w:end w:w="85" w:type="dxa"/>
            </w:tcMar>
          </w:tcPr>
          <w:p>
            <w:pPr>
              <w:spacing w:after="0" w:before="0"/>
            </w:pPr>
            <w:r>
              <w:t>Find a course, enrol, see progress, resume lessons, take quizzes, and download or verify a certificate.</w:t>
            </w:r>
          </w:p>
        </w:tc>
      </w:tr>
      <w:tr>
        <w:tc>
          <w:tcPr>
            <w:tcW w:type="dxa" w:w="3144"/>
            <w:vAlign w:val="center"/>
            <w:tcMar>
              <w:top w:w="70" w:type="dxa"/>
              <w:start w:w="85" w:type="dxa"/>
              <w:bottom w:w="70" w:type="dxa"/>
              <w:end w:w="85" w:type="dxa"/>
            </w:tcMar>
            <w:shd w:fill="F4F7FA"/>
          </w:tcPr>
          <w:p>
            <w:pPr>
              <w:spacing w:after="0" w:before="0"/>
            </w:pPr>
            <w:r>
              <w:rPr>
                <w:sz w:val="17"/>
              </w:rPr>
              <w:t>Faculty</w:t>
            </w:r>
          </w:p>
        </w:tc>
        <w:tc>
          <w:tcPr>
            <w:tcW w:type="dxa" w:w="7022"/>
            <w:vAlign w:val="center"/>
            <w:tcMar>
              <w:top w:w="70" w:type="dxa"/>
              <w:start w:w="85" w:type="dxa"/>
              <w:bottom w:w="70" w:type="dxa"/>
              <w:end w:w="85" w:type="dxa"/>
            </w:tcMar>
            <w:shd w:fill="F4F7FA"/>
          </w:tcPr>
          <w:p>
            <w:pPr>
              <w:spacing w:after="0" w:before="0"/>
            </w:pPr>
            <w:r>
              <w:t>Manage assigned courses and quizzes, check learner progress and results, and respond to learner questions.</w:t>
            </w:r>
          </w:p>
        </w:tc>
      </w:tr>
      <w:tr>
        <w:tc>
          <w:tcPr>
            <w:tcW w:type="dxa" w:w="3144"/>
            <w:vAlign w:val="center"/>
            <w:tcMar>
              <w:top w:w="70" w:type="dxa"/>
              <w:start w:w="85" w:type="dxa"/>
              <w:bottom w:w="70" w:type="dxa"/>
              <w:end w:w="85" w:type="dxa"/>
            </w:tcMar>
          </w:tcPr>
          <w:p>
            <w:pPr>
              <w:spacing w:after="0" w:before="0"/>
            </w:pPr>
            <w:r>
              <w:rPr>
                <w:sz w:val="17"/>
              </w:rPr>
              <w:t>Content editor</w:t>
            </w:r>
          </w:p>
        </w:tc>
        <w:tc>
          <w:tcPr>
            <w:tcW w:type="dxa" w:w="7022"/>
            <w:vAlign w:val="center"/>
            <w:tcMar>
              <w:top w:w="70" w:type="dxa"/>
              <w:start w:w="85" w:type="dxa"/>
              <w:bottom w:w="70" w:type="dxa"/>
              <w:end w:w="85" w:type="dxa"/>
            </w:tcMar>
          </w:tcPr>
          <w:p>
            <w:pPr>
              <w:spacing w:after="0" w:before="0"/>
            </w:pPr>
            <w:r>
              <w:t>Track incoming recordings, editing work, quality checks, and the videos ready to publish.</w:t>
            </w:r>
          </w:p>
        </w:tc>
      </w:tr>
      <w:tr>
        <w:tc>
          <w:tcPr>
            <w:tcW w:type="dxa" w:w="3144"/>
            <w:vAlign w:val="center"/>
            <w:tcMar>
              <w:top w:w="70" w:type="dxa"/>
              <w:start w:w="85" w:type="dxa"/>
              <w:bottom w:w="70" w:type="dxa"/>
              <w:end w:w="85" w:type="dxa"/>
            </w:tcMar>
            <w:shd w:fill="F4F7FA"/>
          </w:tcPr>
          <w:p>
            <w:pPr>
              <w:spacing w:after="0" w:before="0"/>
            </w:pPr>
            <w:r>
              <w:rPr>
                <w:sz w:val="17"/>
              </w:rPr>
              <w:t>Centre administrator / Director</w:t>
            </w:r>
          </w:p>
        </w:tc>
        <w:tc>
          <w:tcPr>
            <w:tcW w:type="dxa" w:w="7022"/>
            <w:vAlign w:val="center"/>
            <w:tcMar>
              <w:top w:w="70" w:type="dxa"/>
              <w:start w:w="85" w:type="dxa"/>
              <w:bottom w:w="70" w:type="dxa"/>
              <w:end w:w="85" w:type="dxa"/>
            </w:tcMar>
            <w:shd w:fill="F4F7FA"/>
          </w:tcPr>
          <w:p>
            <w:pPr>
              <w:spacing w:after="0" w:before="0"/>
            </w:pPr>
            <w:r>
              <w:t>See enrolments, revenue scenarios, course readiness, schedule risks, and quality measures in one place.</w:t>
            </w:r>
          </w:p>
        </w:tc>
      </w:tr>
      <w:tr>
        <w:tc>
          <w:tcPr>
            <w:tcW w:type="dxa" w:w="3144"/>
            <w:vAlign w:val="center"/>
            <w:tcMar>
              <w:top w:w="70" w:type="dxa"/>
              <w:start w:w="85" w:type="dxa"/>
              <w:bottom w:w="70" w:type="dxa"/>
              <w:end w:w="85" w:type="dxa"/>
            </w:tcMar>
          </w:tcPr>
          <w:p>
            <w:pPr>
              <w:spacing w:after="0" w:before="0"/>
            </w:pPr>
            <w:r>
              <w:rPr>
                <w:sz w:val="17"/>
              </w:rPr>
              <w:t>IT/security administrator</w:t>
            </w:r>
          </w:p>
        </w:tc>
        <w:tc>
          <w:tcPr>
            <w:tcW w:type="dxa" w:w="7022"/>
            <w:vAlign w:val="center"/>
            <w:tcMar>
              <w:top w:w="70" w:type="dxa"/>
              <w:start w:w="85" w:type="dxa"/>
              <w:bottom w:w="70" w:type="dxa"/>
              <w:end w:w="85" w:type="dxa"/>
            </w:tcMar>
          </w:tcPr>
          <w:p>
            <w:pPr>
              <w:spacing w:after="0" w:before="0"/>
            </w:pPr>
            <w:r>
              <w:t>Manage access, review security events, and monitor system and provider health.</w:t>
            </w:r>
          </w:p>
        </w:tc>
      </w:tr>
    </w:tbl>
    <w:p>
      <w:pPr>
        <w:spacing w:after="20"/>
      </w:pPr>
    </w:p>
    <w:p>
      <w:pPr>
        <w:pStyle w:val="Heading3"/>
      </w:pPr>
      <w:r>
        <w:rPr>
          <w:sz w:val="21"/>
        </w:rPr>
        <w:t>2.3 Operating environment and constraints</w:t>
      </w:r>
    </w:p>
    <w:p>
      <w:pPr>
        <w:pStyle w:val="ListBullet"/>
      </w:pPr>
      <w:r>
        <w:rPr>
          <w:sz w:val="18"/>
        </w:rPr>
        <w:t xml:space="preserve">The platform must be ready within </w:t>
      </w:r>
      <w:r>
        <w:rPr>
          <w:b/>
          <w:sz w:val="18"/>
        </w:rPr>
        <w:t>10 weeks</w:t>
      </w:r>
      <w:r>
        <w:rPr>
          <w:sz w:val="18"/>
        </w:rPr>
        <w:t xml:space="preserve"> according to the case brief; that figure is a supplied planning constraint, not a guarantee that content will be ready.</w:t>
      </w:r>
    </w:p>
    <w:p>
      <w:pPr>
        <w:pStyle w:val="ListBullet"/>
      </w:pPr>
      <w:r>
        <w:rPr>
          <w:sz w:val="18"/>
        </w:rPr>
        <w:t xml:space="preserve">Faculty are able to record </w:t>
      </w:r>
      <w:r>
        <w:rPr>
          <w:b/>
          <w:sz w:val="18"/>
        </w:rPr>
        <w:t>8 courses in the next 3 months</w:t>
      </w:r>
      <w:r>
        <w:rPr>
          <w:sz w:val="18"/>
        </w:rPr>
        <w:t xml:space="preserve"> according to the brief. Faculty recording is outside IT control.</w:t>
      </w:r>
    </w:p>
    <w:p>
      <w:pPr>
        <w:pStyle w:val="ListBullet"/>
      </w:pPr>
      <w:r>
        <w:rPr>
          <w:sz w:val="18"/>
        </w:rPr>
        <w:t xml:space="preserve">Each course has </w:t>
      </w:r>
      <w:r>
        <w:rPr>
          <w:b/>
          <w:sz w:val="18"/>
        </w:rPr>
        <w:t>12 hours</w:t>
      </w:r>
      <w:r>
        <w:rPr>
          <w:sz w:val="18"/>
        </w:rPr>
        <w:t xml:space="preserve"> of recorded content; recording and editing require </w:t>
      </w:r>
      <w:r>
        <w:rPr>
          <w:b/>
          <w:sz w:val="18"/>
        </w:rPr>
        <w:t>3 hours per content hour</w:t>
      </w:r>
      <w:r>
        <w:rPr>
          <w:sz w:val="18"/>
        </w:rPr>
        <w:t xml:space="preserve">; two editors are available at </w:t>
      </w:r>
      <w:r>
        <w:rPr>
          <w:b/>
          <w:sz w:val="18"/>
        </w:rPr>
        <w:t>30 hours/week each</w:t>
      </w:r>
      <w:r>
        <w:rPr>
          <w:sz w:val="18"/>
        </w:rPr>
        <w:t>. The worked estimates appear in the Estimation Sheet.</w:t>
      </w:r>
    </w:p>
    <w:p>
      <w:pPr>
        <w:pStyle w:val="ListBullet"/>
      </w:pPr>
      <w:r>
        <w:rPr>
          <w:sz w:val="18"/>
        </w:rPr>
        <w:t xml:space="preserve">Revenue assumptions supplied in the brief are </w:t>
      </w:r>
      <w:r>
        <w:rPr>
          <w:b/>
          <w:sz w:val="18"/>
        </w:rPr>
        <w:t>₹4,500 per enrolment</w:t>
      </w:r>
      <w:r>
        <w:rPr>
          <w:sz w:val="18"/>
        </w:rPr>
        <w:t xml:space="preserve"> and </w:t>
      </w:r>
      <w:r>
        <w:rPr>
          <w:b/>
          <w:sz w:val="18"/>
        </w:rPr>
        <w:t>150 enrolments per course in year one</w:t>
      </w:r>
      <w:r>
        <w:rPr>
          <w:sz w:val="18"/>
        </w:rPr>
        <w:t>. These are planning inputs, not a revenue guarantee.</w:t>
      </w:r>
    </w:p>
    <w:p>
      <w:pPr>
        <w:pStyle w:val="ListBullet"/>
      </w:pPr>
      <w:r>
        <w:rPr>
          <w:sz w:val="18"/>
        </w:rPr>
        <w:t>Applicable university privacy, identity, payment-provider, accessibility, and records-retention policies must be confirmed before production use. No specific legal or institutional policy has been invented here.</w:t>
      </w:r>
    </w:p>
    <w:p>
      <w:pPr>
        <w:pStyle w:val="Heading3"/>
      </w:pPr>
      <w:r>
        <w:rPr>
          <w:sz w:val="21"/>
        </w:rPr>
        <w:t>2.4 Assumptions and dependencies</w:t>
      </w:r>
    </w:p>
    <w:p>
      <w:pPr>
        <w:pStyle w:val="ListNumber"/>
      </w:pPr>
      <w:r>
        <w:rPr>
          <w:sz w:val="18"/>
        </w:rPr>
        <w:t>Each course’s required video content is the stated 12 hours. The brief does not define lesson count or video format.</w:t>
      </w:r>
    </w:p>
    <w:p>
      <w:pPr>
        <w:pStyle w:val="ListNumber"/>
      </w:pPr>
      <w:r>
        <w:rPr>
          <w:sz w:val="18"/>
        </w:rPr>
        <w:t>Payment processing is handled by an approved external provider; CourseCraft stores only the minimum transaction reference and status required, not raw card data.</w:t>
      </w:r>
    </w:p>
    <w:p>
      <w:pPr>
        <w:pStyle w:val="ListNumber"/>
      </w:pPr>
      <w:r>
        <w:t>The dashboard brief supplies a quiz pass threshold of 70%. The Centre should confirm this rule, along with certificate exceptions, data-retention periods, supported browsers, and the accessibility standard, before acceptance testing.</w:t>
      </w:r>
    </w:p>
    <w:p>
      <w:pPr>
        <w:pStyle w:val="ListNumber"/>
      </w:pPr>
      <w:r>
        <w:rPr>
          <w:sz w:val="18"/>
        </w:rPr>
        <w:t>Proposed numeric NFR targets below are acceptance targets for review, not facts supplied by the brief.</w:t>
      </w:r>
    </w:p>
    <w:p>
      <w:pPr>
        <w:pStyle w:val="ListNumber"/>
      </w:pPr>
      <w:r>
        <w:rPr>
          <w:sz w:val="18"/>
        </w:rPr>
        <w:t>The first release can be staged. Whether the Director accepts an 8-course launch is a decision to record; the platform must be designed to catalogue 30 courses.</w:t>
      </w:r>
    </w:p>
    <w:p>
      <w:pPr>
        <w:pStyle w:val="Heading2"/>
      </w:pPr>
      <w:r>
        <w:t>2.5 Dashboard experience and KPI guidance</w:t>
      </w:r>
    </w:p>
    <w:p>
      <w:pPr/>
      <w:r>
        <w:t>The dashboards should answer the everyday questions each group has: learners need to know what to study next; faculty and editors need to know what is ready or stuck; Centre leaders need a reliable view of demand, delivery, and risk. The functional requirements above define what each dashboard must show.</w:t>
      </w:r>
    </w:p>
    <w:p>
      <w:pPr/>
      <w:r>
        <w:t>For planning views, use the supplied figures: a course has 12 recorded hours; the production rate is 3 work-hours per content-hour; and the two editors together provide 60 hours per week. That works out to 36 work-hours per course, 288 hours (4.8 capacity-weeks) for 8 courses, and 1,080 hours (18 capacity-weeks) for 30 courses. The 8-course and 30-course gross revenue scenarios are ₹54 lakh and ₹2.025 crore respectively, based on ₹4,500 per enrolment and 150 enrolments per course. Dashboards must label these as target-based scenarios, not guaranteed or collected revenue.</w:t>
      </w:r>
    </w:p>
    <w:p>
      <w:pPr/>
      <w:r>
        <w:t>Show the 10-week platform plan separately from content readiness. In the 30-course capacity scenario, 18 production-capacity weeks compared with 10 platform weeks indicate an 8-week planning gap. The first 8 courses require 4.8 capacity-weeks once production inputs are available, but faculty can record only 8 courses in the next 3 months. Therefore, the dashboard must not promise a week-4.8 or week-10 launch unless the actual recordings are ready; the go-live forecast depends on both the platform and accepted course content.</w:t>
      </w:r>
    </w:p>
    <w:p>
      <w:pPr/>
      <w:r>
        <w:t>The dashboard brief gives 94.12% as a DRE figure. Show it as a supplied reference value until it is checked against the executed test log. After testing, show the measured DRE and defect density with their source, release, and measurement status. Defect density also requires the delivered code size (KLOC); do not present a measured figure until both inputs exist.</w:t>
      </w:r>
    </w:p>
    <w:p>
      <w:pPr>
        <w:pStyle w:val="Heading2"/>
      </w:pPr>
      <w:r>
        <w:rPr>
          <w:sz w:val="26"/>
        </w:rPr>
        <w:t>3. External interface requirements</w:t>
      </w:r>
    </w:p>
    <w:p>
      <w:pPr>
        <w:pStyle w:val="ListBullet"/>
      </w:pPr>
      <w:r>
        <w:rPr>
          <w:b/>
          <w:sz w:val="18"/>
        </w:rPr>
        <w:t>Learner UI:</w:t>
      </w:r>
      <w:r>
        <w:rPr>
          <w:sz w:val="18"/>
        </w:rPr>
        <w:t xml:space="preserve"> responsive browser experience for course discovery, enrolment, learning, assessment, and certificate retrieval.</w:t>
      </w:r>
    </w:p>
    <w:p>
      <w:pPr>
        <w:pStyle w:val="ListBullet"/>
      </w:pPr>
      <w:r>
        <w:rPr>
          <w:b/>
          <w:sz w:val="18"/>
        </w:rPr>
        <w:t>Faculty/editor UI:</w:t>
      </w:r>
      <w:r>
        <w:rPr>
          <w:sz w:val="18"/>
        </w:rPr>
        <w:t xml:space="preserve"> role-protected course setup, content submission/verification, progress and assessment views.</w:t>
      </w:r>
    </w:p>
    <w:p>
      <w:pPr>
        <w:pStyle w:val="ListBullet"/>
      </w:pPr>
      <w:r>
        <w:rPr>
          <w:b/>
          <w:sz w:val="18"/>
        </w:rPr>
        <w:t>Payment interface:</w:t>
      </w:r>
      <w:r>
        <w:rPr>
          <w:sz w:val="18"/>
        </w:rPr>
        <w:t xml:space="preserve"> create/confirm/refund status as permitted by the selected provider; signed or otherwise verifiable callbacks; idempotent handling of repeated notifications.</w:t>
      </w:r>
    </w:p>
    <w:p>
      <w:pPr>
        <w:pStyle w:val="ListBullet"/>
      </w:pPr>
      <w:r>
        <w:rPr>
          <w:b/>
          <w:sz w:val="18"/>
        </w:rPr>
        <w:t>Video interface:</w:t>
      </w:r>
      <w:r>
        <w:rPr>
          <w:sz w:val="18"/>
        </w:rPr>
        <w:t xml:space="preserve"> protected playback URL/token or equivalent, availability/error status, and lesson identifier; video bytes are served by a delivery service.</w:t>
      </w:r>
    </w:p>
    <w:p>
      <w:pPr>
        <w:pStyle w:val="ListBullet"/>
      </w:pPr>
      <w:r>
        <w:rPr>
          <w:b/>
          <w:sz w:val="18"/>
        </w:rPr>
        <w:t>Notifications:</w:t>
      </w:r>
      <w:r>
        <w:rPr>
          <w:sz w:val="18"/>
        </w:rPr>
        <w:t xml:space="preserve"> email or university-approved messaging may be used for receipts and certificate notices; provider and templates remain to be selected.</w:t>
      </w:r>
    </w:p>
    <w:p>
      <w:pPr>
        <w:pStyle w:val="ListBullet"/>
      </w:pPr>
      <w:r>
        <w:rPr>
          <w:b/>
          <w:sz w:val="18"/>
        </w:rPr>
        <w:t>Administration:</w:t>
      </w:r>
      <w:r>
        <w:rPr>
          <w:sz w:val="18"/>
        </w:rPr>
        <w:t xml:space="preserve"> role management, course publication controls, audit access, and operational reporting.</w:t>
      </w:r>
    </w:p>
    <w:p>
      <w:pPr>
        <w:pStyle w:val="Heading2"/>
      </w:pPr>
      <w:r>
        <w:rPr>
          <w:sz w:val="26"/>
        </w:rPr>
        <w:t>4. Functional requirements and MoSCoW priorities</w:t>
      </w:r>
    </w:p>
    <w:p>
      <w:r>
        <w:t>The requirements below describe what each user should be able to do. “Must” marks a first-release essential; “Should” marks an important capability. The Centre should confirm these priorities in its stakeholder workshop, and each requirement is linked to a practical acceptance test.</w:t>
      </w:r>
    </w:p>
    <w:tbl>
      <w:tblPr>
        <w:tblStyle w:val="TableGrid"/>
        <w:tblW w:type="auto" w:w="0"/>
        <w:jc w:val="center"/>
        <w:tblLayout w:type="fixed"/>
        <w:tblLook w:firstColumn="1" w:firstRow="1" w:lastColumn="0" w:lastRow="0" w:noHBand="0" w:noVBand="1" w:val="04A0"/>
      </w:tblPr>
      <w:tblGrid>
        <w:gridCol w:w="1028"/>
        <w:gridCol w:w="4056"/>
        <w:gridCol w:w="1028"/>
        <w:gridCol w:w="4056"/>
      </w:tblGrid>
      <w:tr>
        <w:trPr>
          <w:tblHeader w:val="true"/>
        </w:trPr>
        <w:tc>
          <w:tcPr>
            <w:tcW w:type="dxa" w:w="1028"/>
            <w:vAlign w:val="center"/>
            <w:tcMar>
              <w:top w:w="70" w:type="dxa"/>
              <w:start w:w="85" w:type="dxa"/>
              <w:bottom w:w="70" w:type="dxa"/>
              <w:end w:w="85" w:type="dxa"/>
            </w:tcMar>
            <w:shd w:fill="17365D"/>
          </w:tcPr>
          <w:p>
            <w:pPr>
              <w:spacing w:after="0" w:before="0"/>
            </w:pPr>
            <w:r>
              <w:rPr>
                <w:b/>
                <w:color w:val="FFFFFF"/>
                <w:sz w:val="17"/>
              </w:rPr>
              <w:t>ID</w:t>
            </w:r>
          </w:p>
        </w:tc>
        <w:tc>
          <w:tcPr>
            <w:tcW w:type="dxa" w:w="4056"/>
            <w:vAlign w:val="center"/>
            <w:tcMar>
              <w:top w:w="70" w:type="dxa"/>
              <w:start w:w="85" w:type="dxa"/>
              <w:bottom w:w="70" w:type="dxa"/>
              <w:end w:w="85" w:type="dxa"/>
            </w:tcMar>
            <w:shd w:fill="17365D"/>
          </w:tcPr>
          <w:p>
            <w:pPr>
              <w:spacing w:after="0" w:before="0"/>
            </w:pPr>
            <w:r>
              <w:rPr>
                <w:b/>
                <w:color w:val="FFFFFF"/>
                <w:sz w:val="17"/>
              </w:rPr>
              <w:t>Requirement</w:t>
            </w:r>
          </w:p>
        </w:tc>
        <w:tc>
          <w:tcPr>
            <w:tcW w:type="dxa" w:w="1028"/>
            <w:vAlign w:val="center"/>
            <w:tcMar>
              <w:top w:w="70" w:type="dxa"/>
              <w:start w:w="85" w:type="dxa"/>
              <w:bottom w:w="70" w:type="dxa"/>
              <w:end w:w="85" w:type="dxa"/>
            </w:tcMar>
            <w:shd w:fill="17365D"/>
          </w:tcPr>
          <w:p>
            <w:pPr>
              <w:spacing w:after="0" w:before="0"/>
            </w:pPr>
            <w:r>
              <w:rPr>
                <w:b/>
                <w:color w:val="FFFFFF"/>
                <w:sz w:val="17"/>
              </w:rPr>
              <w:t>Priority</w:t>
            </w:r>
          </w:p>
        </w:tc>
        <w:tc>
          <w:tcPr>
            <w:tcW w:type="dxa" w:w="4056"/>
            <w:vAlign w:val="center"/>
            <w:tcMar>
              <w:top w:w="70" w:type="dxa"/>
              <w:start w:w="85" w:type="dxa"/>
              <w:bottom w:w="70" w:type="dxa"/>
              <w:end w:w="85" w:type="dxa"/>
            </w:tcMar>
            <w:shd w:fill="17365D"/>
          </w:tcPr>
          <w:p>
            <w:pPr>
              <w:spacing w:after="0" w:before="0"/>
            </w:pPr>
            <w:r>
              <w:rPr>
                <w:b/>
                <w:color w:val="FFFFFF"/>
                <w:sz w:val="17"/>
              </w:rPr>
              <w:t>Acceptance / verification</w:t>
            </w:r>
          </w:p>
        </w:tc>
      </w:tr>
      <w:tr>
        <w:tc>
          <w:tcPr>
            <w:tcW w:type="dxa" w:w="1028"/>
            <w:vAlign w:val="center"/>
            <w:tcMar>
              <w:top w:w="70" w:type="dxa"/>
              <w:start w:w="85" w:type="dxa"/>
              <w:bottom w:w="70" w:type="dxa"/>
              <w:end w:w="85" w:type="dxa"/>
            </w:tcMar>
          </w:tcPr>
          <w:p>
            <w:pPr>
              <w:spacing w:after="0" w:before="0"/>
            </w:pPr>
            <w:r>
              <w:rPr>
                <w:sz w:val="17"/>
              </w:rPr>
              <w:t>FR-01</w:t>
            </w:r>
          </w:p>
        </w:tc>
        <w:tc>
          <w:tcPr>
            <w:tcW w:type="dxa" w:w="4056"/>
            <w:vAlign w:val="center"/>
            <w:tcMar>
              <w:top w:w="70" w:type="dxa"/>
              <w:start w:w="85" w:type="dxa"/>
              <w:bottom w:w="70" w:type="dxa"/>
              <w:end w:w="85" w:type="dxa"/>
            </w:tcMar>
          </w:tcPr>
          <w:p>
            <w:pPr>
              <w:spacing w:after="0" w:before="0"/>
            </w:pPr>
            <w:r>
              <w:t>The system shall let learners browse and search the 30-course catalogue, filter courses by topic (Technology, Management, Data, and AI), and review each published course’s title, faculty, description, fee, and availability.</w:t>
            </w:r>
          </w:p>
        </w:tc>
        <w:tc>
          <w:tcPr>
            <w:tcW w:type="dxa" w:w="1028"/>
            <w:vAlign w:val="center"/>
            <w:tcMar>
              <w:top w:w="70" w:type="dxa"/>
              <w:start w:w="85" w:type="dxa"/>
              <w:bottom w:w="70" w:type="dxa"/>
              <w:end w:w="85" w:type="dxa"/>
            </w:tcMar>
          </w:tcPr>
          <w:p>
            <w:pPr>
              <w:spacing w:after="0" w:before="0"/>
            </w:pPr>
            <w:r>
              <w:rPr>
                <w:sz w:val="17"/>
              </w:rPr>
              <w:t>Must</w:t>
            </w:r>
          </w:p>
        </w:tc>
        <w:tc>
          <w:tcPr>
            <w:tcW w:type="dxa" w:w="4056"/>
            <w:vAlign w:val="center"/>
            <w:tcMar>
              <w:top w:w="70" w:type="dxa"/>
              <w:start w:w="85" w:type="dxa"/>
              <w:bottom w:w="70" w:type="dxa"/>
              <w:end w:w="85" w:type="dxa"/>
            </w:tcMar>
          </w:tcPr>
          <w:p>
            <w:pPr>
              <w:spacing w:after="0" w:before="0"/>
            </w:pPr>
            <w:r>
              <w:t>TC-FR01: all published courses and topic filters are shown; unpublished courses are hidden; course details and fee match the saved catalogue.</w:t>
            </w:r>
          </w:p>
        </w:tc>
      </w:tr>
      <w:tr>
        <w:tc>
          <w:tcPr>
            <w:tcW w:type="dxa" w:w="1028"/>
            <w:vAlign w:val="center"/>
            <w:tcMar>
              <w:top w:w="70" w:type="dxa"/>
              <w:start w:w="85" w:type="dxa"/>
              <w:bottom w:w="70" w:type="dxa"/>
              <w:end w:w="85" w:type="dxa"/>
            </w:tcMar>
            <w:shd w:fill="F4F7FA"/>
          </w:tcPr>
          <w:p>
            <w:pPr>
              <w:spacing w:after="0" w:before="0"/>
            </w:pPr>
            <w:r>
              <w:rPr>
                <w:sz w:val="17"/>
              </w:rPr>
              <w:t>FR-02</w:t>
            </w:r>
          </w:p>
        </w:tc>
        <w:tc>
          <w:tcPr>
            <w:tcW w:type="dxa" w:w="4056"/>
            <w:vAlign w:val="center"/>
            <w:tcMar>
              <w:top w:w="70" w:type="dxa"/>
              <w:start w:w="85" w:type="dxa"/>
              <w:bottom w:w="70" w:type="dxa"/>
              <w:end w:w="85" w:type="dxa"/>
            </w:tcMar>
            <w:shd w:fill="F4F7FA"/>
          </w:tcPr>
          <w:p>
            <w:pPr>
              <w:spacing w:after="0" w:before="0"/>
            </w:pPr>
            <w:r>
              <w:t>The system shall let an authenticated learner begin enrolment from a course page with one clear action and show a unique enrolment reference and current status.</w:t>
            </w:r>
          </w:p>
        </w:tc>
        <w:tc>
          <w:tcPr>
            <w:tcW w:type="dxa" w:w="1028"/>
            <w:vAlign w:val="center"/>
            <w:tcMar>
              <w:top w:w="70" w:type="dxa"/>
              <w:start w:w="85" w:type="dxa"/>
              <w:bottom w:w="70" w:type="dxa"/>
              <w:end w:w="85" w:type="dxa"/>
            </w:tcMar>
            <w:shd w:fill="F4F7FA"/>
          </w:tcPr>
          <w:p>
            <w:pPr>
              <w:spacing w:after="0" w:before="0"/>
            </w:pPr>
            <w:r>
              <w:rPr>
                <w:sz w:val="17"/>
              </w:rPr>
              <w:t>Must</w:t>
            </w:r>
          </w:p>
        </w:tc>
        <w:tc>
          <w:tcPr>
            <w:tcW w:type="dxa" w:w="4056"/>
            <w:vAlign w:val="center"/>
            <w:tcMar>
              <w:top w:w="70" w:type="dxa"/>
              <w:start w:w="85" w:type="dxa"/>
              <w:bottom w:w="70" w:type="dxa"/>
              <w:end w:w="85" w:type="dxa"/>
            </w:tcMar>
            <w:shd w:fill="F4F7FA"/>
          </w:tcPr>
          <w:p>
            <w:pPr>
              <w:spacing w:after="0" w:before="0"/>
            </w:pPr>
            <w:r>
              <w:t>TC-FR02: one action creates one valid enrolment and displays its reference/status; a repeated action does not create a duplicate.</w:t>
            </w:r>
          </w:p>
        </w:tc>
      </w:tr>
      <w:tr>
        <w:tc>
          <w:tcPr>
            <w:tcW w:type="dxa" w:w="1028"/>
            <w:vAlign w:val="center"/>
            <w:tcMar>
              <w:top w:w="70" w:type="dxa"/>
              <w:start w:w="85" w:type="dxa"/>
              <w:bottom w:w="70" w:type="dxa"/>
              <w:end w:w="85" w:type="dxa"/>
            </w:tcMar>
          </w:tcPr>
          <w:p>
            <w:pPr>
              <w:spacing w:after="0" w:before="0"/>
            </w:pPr>
            <w:r>
              <w:rPr>
                <w:sz w:val="17"/>
              </w:rPr>
              <w:t>FR-03</w:t>
            </w:r>
          </w:p>
        </w:tc>
        <w:tc>
          <w:tcPr>
            <w:tcW w:type="dxa" w:w="4056"/>
            <w:vAlign w:val="center"/>
            <w:tcMar>
              <w:top w:w="70" w:type="dxa"/>
              <w:start w:w="85" w:type="dxa"/>
              <w:bottom w:w="70" w:type="dxa"/>
              <w:end w:w="85" w:type="dxa"/>
            </w:tcMar>
          </w:tcPr>
          <w:p>
            <w:pPr>
              <w:spacing w:after="0" w:before="0"/>
            </w:pPr>
            <w:r>
              <w:t>The system shall send the learner to the configured secure payment flow for the stated ₹4,500 course fee and activate access only after a verified payment result.</w:t>
            </w:r>
          </w:p>
        </w:tc>
        <w:tc>
          <w:tcPr>
            <w:tcW w:type="dxa" w:w="1028"/>
            <w:vAlign w:val="center"/>
            <w:tcMar>
              <w:top w:w="70" w:type="dxa"/>
              <w:start w:w="85" w:type="dxa"/>
              <w:bottom w:w="70" w:type="dxa"/>
              <w:end w:w="85" w:type="dxa"/>
            </w:tcMar>
          </w:tcPr>
          <w:p>
            <w:pPr>
              <w:spacing w:after="0" w:before="0"/>
            </w:pPr>
            <w:r>
              <w:rPr>
                <w:sz w:val="17"/>
              </w:rPr>
              <w:t>Must</w:t>
            </w:r>
          </w:p>
        </w:tc>
        <w:tc>
          <w:tcPr>
            <w:tcW w:type="dxa" w:w="4056"/>
            <w:vAlign w:val="center"/>
            <w:tcMar>
              <w:top w:w="70" w:type="dxa"/>
              <w:start w:w="85" w:type="dxa"/>
              <w:bottom w:w="70" w:type="dxa"/>
              <w:end w:w="85" w:type="dxa"/>
            </w:tcMar>
          </w:tcPr>
          <w:p>
            <w:pPr>
              <w:spacing w:after="0" w:before="0"/>
            </w:pPr>
            <w:r>
              <w:t>TC-FR03: success, failure, duplicate callback, and unverified callback cases produce the correct idempotent enrolment state; payment status matches the provider result.</w:t>
            </w:r>
          </w:p>
        </w:tc>
      </w:tr>
      <w:tr>
        <w:tc>
          <w:tcPr>
            <w:tcW w:type="dxa" w:w="1028"/>
            <w:vAlign w:val="center"/>
            <w:tcMar>
              <w:top w:w="70" w:type="dxa"/>
              <w:start w:w="85" w:type="dxa"/>
              <w:bottom w:w="70" w:type="dxa"/>
              <w:end w:w="85" w:type="dxa"/>
            </w:tcMar>
            <w:shd w:fill="F4F7FA"/>
          </w:tcPr>
          <w:p>
            <w:pPr>
              <w:spacing w:after="0" w:before="0"/>
            </w:pPr>
            <w:r>
              <w:rPr>
                <w:sz w:val="17"/>
              </w:rPr>
              <w:t>FR-04</w:t>
            </w:r>
          </w:p>
        </w:tc>
        <w:tc>
          <w:tcPr>
            <w:tcW w:type="dxa" w:w="4056"/>
            <w:vAlign w:val="center"/>
            <w:tcMar>
              <w:top w:w="70" w:type="dxa"/>
              <w:start w:w="85" w:type="dxa"/>
              <w:bottom w:w="70" w:type="dxa"/>
              <w:end w:w="85" w:type="dxa"/>
            </w:tcMar>
            <w:shd w:fill="F4F7FA"/>
          </w:tcPr>
          <w:p>
            <w:pPr>
              <w:spacing w:after="0" w:before="0"/>
            </w:pPr>
            <w:r>
              <w:t>The system shall show each learner the lessons for courses they are entitled to access, with a lesson checklist and the learner’s saved playback position.</w:t>
            </w:r>
          </w:p>
        </w:tc>
        <w:tc>
          <w:tcPr>
            <w:tcW w:type="dxa" w:w="1028"/>
            <w:vAlign w:val="center"/>
            <w:tcMar>
              <w:top w:w="70" w:type="dxa"/>
              <w:start w:w="85" w:type="dxa"/>
              <w:bottom w:w="70" w:type="dxa"/>
              <w:end w:w="85" w:type="dxa"/>
            </w:tcMar>
            <w:shd w:fill="F4F7FA"/>
          </w:tcPr>
          <w:p>
            <w:pPr>
              <w:spacing w:after="0" w:before="0"/>
            </w:pPr>
            <w:r>
              <w:rPr>
                <w:sz w:val="17"/>
              </w:rPr>
              <w:t>Must</w:t>
            </w:r>
          </w:p>
        </w:tc>
        <w:tc>
          <w:tcPr>
            <w:tcW w:type="dxa" w:w="4056"/>
            <w:vAlign w:val="center"/>
            <w:tcMar>
              <w:top w:w="70" w:type="dxa"/>
              <w:start w:w="85" w:type="dxa"/>
              <w:bottom w:w="70" w:type="dxa"/>
              <w:end w:w="85" w:type="dxa"/>
            </w:tcMar>
            <w:shd w:fill="F4F7FA"/>
          </w:tcPr>
          <w:p>
            <w:pPr>
              <w:spacing w:after="0" w:before="0"/>
            </w:pPr>
            <w:r>
              <w:t>TC-FR04: an authorised learner sees the correct lessons/checklist and can resume at the saved position; another learner is denied.</w:t>
            </w:r>
          </w:p>
        </w:tc>
      </w:tr>
      <w:tr>
        <w:tc>
          <w:tcPr>
            <w:tcW w:type="dxa" w:w="1028"/>
            <w:vAlign w:val="center"/>
            <w:tcMar>
              <w:top w:w="70" w:type="dxa"/>
              <w:start w:w="85" w:type="dxa"/>
              <w:bottom w:w="70" w:type="dxa"/>
              <w:end w:w="85" w:type="dxa"/>
            </w:tcMar>
          </w:tcPr>
          <w:p>
            <w:pPr>
              <w:spacing w:after="0" w:before="0"/>
            </w:pPr>
            <w:r>
              <w:rPr>
                <w:sz w:val="17"/>
              </w:rPr>
              <w:t>FR-05</w:t>
            </w:r>
          </w:p>
        </w:tc>
        <w:tc>
          <w:tcPr>
            <w:tcW w:type="dxa" w:w="4056"/>
            <w:vAlign w:val="center"/>
            <w:tcMar>
              <w:top w:w="70" w:type="dxa"/>
              <w:start w:w="85" w:type="dxa"/>
              <w:bottom w:w="70" w:type="dxa"/>
              <w:end w:w="85" w:type="dxa"/>
            </w:tcMar>
          </w:tcPr>
          <w:p>
            <w:pPr>
              <w:spacing w:after="0" w:before="0"/>
            </w:pPr>
            <w:r>
              <w:t>The system shall play course videos through the configured delivery service, support playback speeds from 0.75× to 2×, and show a clear recovery message if a video cannot be played.</w:t>
            </w:r>
          </w:p>
        </w:tc>
        <w:tc>
          <w:tcPr>
            <w:tcW w:type="dxa" w:w="1028"/>
            <w:vAlign w:val="center"/>
            <w:tcMar>
              <w:top w:w="70" w:type="dxa"/>
              <w:start w:w="85" w:type="dxa"/>
              <w:bottom w:w="70" w:type="dxa"/>
              <w:end w:w="85" w:type="dxa"/>
            </w:tcMar>
          </w:tcPr>
          <w:p>
            <w:pPr>
              <w:spacing w:after="0" w:before="0"/>
            </w:pPr>
            <w:r>
              <w:rPr>
                <w:sz w:val="17"/>
              </w:rPr>
              <w:t>Must</w:t>
            </w:r>
          </w:p>
        </w:tc>
        <w:tc>
          <w:tcPr>
            <w:tcW w:type="dxa" w:w="4056"/>
            <w:vAlign w:val="center"/>
            <w:tcMar>
              <w:top w:w="70" w:type="dxa"/>
              <w:start w:w="85" w:type="dxa"/>
              <w:bottom w:w="70" w:type="dxa"/>
              <w:end w:w="85" w:type="dxa"/>
            </w:tcMar>
          </w:tcPr>
          <w:p>
            <w:pPr>
              <w:spacing w:after="0" w:before="0"/>
            </w:pPr>
            <w:r>
              <w:t>TC-FR05: playback starts for an available asset; resume and speed settings work at 0.75× and 2×; an unavailable asset produces an actionable message without changing payment status.</w:t>
            </w:r>
          </w:p>
        </w:tc>
      </w:tr>
      <w:tr>
        <w:tc>
          <w:tcPr>
            <w:tcW w:type="dxa" w:w="1028"/>
            <w:vAlign w:val="center"/>
            <w:tcMar>
              <w:top w:w="70" w:type="dxa"/>
              <w:start w:w="85" w:type="dxa"/>
              <w:bottom w:w="70" w:type="dxa"/>
              <w:end w:w="85" w:type="dxa"/>
            </w:tcMar>
            <w:shd w:fill="F4F7FA"/>
          </w:tcPr>
          <w:p>
            <w:pPr>
              <w:spacing w:after="0" w:before="0"/>
            </w:pPr>
            <w:r>
              <w:rPr>
                <w:sz w:val="17"/>
              </w:rPr>
              <w:t>FR-06</w:t>
            </w:r>
          </w:p>
        </w:tc>
        <w:tc>
          <w:tcPr>
            <w:tcW w:type="dxa" w:w="4056"/>
            <w:vAlign w:val="center"/>
            <w:tcMar>
              <w:top w:w="70" w:type="dxa"/>
              <w:start w:w="85" w:type="dxa"/>
              <w:bottom w:w="70" w:type="dxa"/>
              <w:end w:w="85" w:type="dxa"/>
            </w:tcMar>
            <w:shd w:fill="F4F7FA"/>
          </w:tcPr>
          <w:p>
            <w:pPr>
              <w:spacing w:after="0" w:before="0"/>
            </w:pPr>
            <w:r>
              <w:t>The system shall calculate course progress from required lessons, keep the percentage between 0% and 100%, and show the learner an up-to-date progress tracker.</w:t>
            </w:r>
          </w:p>
        </w:tc>
        <w:tc>
          <w:tcPr>
            <w:tcW w:type="dxa" w:w="1028"/>
            <w:vAlign w:val="center"/>
            <w:tcMar>
              <w:top w:w="70" w:type="dxa"/>
              <w:start w:w="85" w:type="dxa"/>
              <w:bottom w:w="70" w:type="dxa"/>
              <w:end w:w="85" w:type="dxa"/>
            </w:tcMar>
            <w:shd w:fill="F4F7FA"/>
          </w:tcPr>
          <w:p>
            <w:pPr>
              <w:spacing w:after="0" w:before="0"/>
            </w:pPr>
            <w:r>
              <w:rPr>
                <w:sz w:val="17"/>
              </w:rPr>
              <w:t>Must</w:t>
            </w:r>
          </w:p>
        </w:tc>
        <w:tc>
          <w:tcPr>
            <w:tcW w:type="dxa" w:w="4056"/>
            <w:vAlign w:val="center"/>
            <w:tcMar>
              <w:top w:w="70" w:type="dxa"/>
              <w:start w:w="85" w:type="dxa"/>
              <w:bottom w:w="70" w:type="dxa"/>
              <w:end w:w="85" w:type="dxa"/>
            </w:tcMar>
            <w:shd w:fill="F4F7FA"/>
          </w:tcPr>
          <w:p>
            <w:pPr>
              <w:spacing w:after="0" w:before="0"/>
            </w:pPr>
            <w:r>
              <w:t>TC-FR06: progress matches completed required lessons, stays within 0–100%, and duplicate events do not inflate the result.</w:t>
            </w:r>
          </w:p>
        </w:tc>
      </w:tr>
      <w:tr>
        <w:tc>
          <w:tcPr>
            <w:tcW w:type="dxa" w:w="1028"/>
            <w:vAlign w:val="center"/>
            <w:tcMar>
              <w:top w:w="70" w:type="dxa"/>
              <w:start w:w="85" w:type="dxa"/>
              <w:bottom w:w="70" w:type="dxa"/>
              <w:end w:w="85" w:type="dxa"/>
            </w:tcMar>
          </w:tcPr>
          <w:p>
            <w:pPr>
              <w:spacing w:after="0" w:before="0"/>
            </w:pPr>
            <w:r>
              <w:rPr>
                <w:sz w:val="17"/>
              </w:rPr>
              <w:t>FR-07</w:t>
            </w:r>
          </w:p>
        </w:tc>
        <w:tc>
          <w:tcPr>
            <w:tcW w:type="dxa" w:w="4056"/>
            <w:vAlign w:val="center"/>
            <w:tcMar>
              <w:top w:w="70" w:type="dxa"/>
              <w:start w:w="85" w:type="dxa"/>
              <w:bottom w:w="70" w:type="dxa"/>
              <w:end w:w="85" w:type="dxa"/>
            </w:tcMar>
          </w:tcPr>
          <w:p>
            <w:pPr>
              <w:spacing w:after="0" w:before="0"/>
            </w:pPr>
            <w:r>
              <w:t>The system shall support 10-question multiple-choice quizzes, show a learner’s score after submission, and apply the supplied 70% pass threshold. Authorised faculty shall be able to manage question banks, answer keys, explanations, and pass criteria for their courses.</w:t>
            </w:r>
          </w:p>
        </w:tc>
        <w:tc>
          <w:tcPr>
            <w:tcW w:type="dxa" w:w="1028"/>
            <w:vAlign w:val="center"/>
            <w:tcMar>
              <w:top w:w="70" w:type="dxa"/>
              <w:start w:w="85" w:type="dxa"/>
              <w:bottom w:w="70" w:type="dxa"/>
              <w:end w:w="85" w:type="dxa"/>
            </w:tcMar>
          </w:tcPr>
          <w:p>
            <w:pPr>
              <w:spacing w:after="0" w:before="0"/>
            </w:pPr>
            <w:r>
              <w:rPr>
                <w:sz w:val="17"/>
              </w:rPr>
              <w:t>Must</w:t>
            </w:r>
          </w:p>
        </w:tc>
        <w:tc>
          <w:tcPr>
            <w:tcW w:type="dxa" w:w="4056"/>
            <w:vAlign w:val="center"/>
            <w:tcMar>
              <w:top w:w="70" w:type="dxa"/>
              <w:start w:w="85" w:type="dxa"/>
              <w:bottom w:w="70" w:type="dxa"/>
              <w:end w:w="85" w:type="dxa"/>
            </w:tcMar>
          </w:tcPr>
          <w:p>
            <w:pPr>
              <w:spacing w:after="0" w:before="0"/>
            </w:pPr>
            <w:r>
              <w:t>TC-FR07: a 6/10 result (60%) fails, a 7/10 result (70%) passes, the score/attempt is saved, and only assigned faculty can edit questions and answer explanations.</w:t>
            </w:r>
          </w:p>
        </w:tc>
      </w:tr>
      <w:tr>
        <w:tc>
          <w:tcPr>
            <w:tcW w:type="dxa" w:w="1028"/>
            <w:vAlign w:val="center"/>
            <w:tcMar>
              <w:top w:w="70" w:type="dxa"/>
              <w:start w:w="85" w:type="dxa"/>
              <w:bottom w:w="70" w:type="dxa"/>
              <w:end w:w="85" w:type="dxa"/>
            </w:tcMar>
            <w:shd w:fill="F4F7FA"/>
          </w:tcPr>
          <w:p>
            <w:pPr>
              <w:spacing w:after="0" w:before="0"/>
            </w:pPr>
            <w:r>
              <w:rPr>
                <w:sz w:val="17"/>
              </w:rPr>
              <w:t>FR-08</w:t>
            </w:r>
          </w:p>
        </w:tc>
        <w:tc>
          <w:tcPr>
            <w:tcW w:type="dxa" w:w="4056"/>
            <w:vAlign w:val="center"/>
            <w:tcMar>
              <w:top w:w="70" w:type="dxa"/>
              <w:start w:w="85" w:type="dxa"/>
              <w:bottom w:w="70" w:type="dxa"/>
              <w:end w:w="85" w:type="dxa"/>
            </w:tcMar>
            <w:shd w:fill="F4F7FA"/>
          </w:tcPr>
          <w:p>
            <w:pPr>
              <w:spacing w:after="0" w:before="0"/>
            </w:pPr>
            <w:r>
              <w:t>The system shall evaluate certificate eligibility using the approved rules: paid enrolment, 100% completion of required lessons, and a quiz score of at least 70%, and record the decision.</w:t>
            </w:r>
          </w:p>
        </w:tc>
        <w:tc>
          <w:tcPr>
            <w:tcW w:type="dxa" w:w="1028"/>
            <w:vAlign w:val="center"/>
            <w:tcMar>
              <w:top w:w="70" w:type="dxa"/>
              <w:start w:w="85" w:type="dxa"/>
              <w:bottom w:w="70" w:type="dxa"/>
              <w:end w:w="85" w:type="dxa"/>
            </w:tcMar>
            <w:shd w:fill="F4F7FA"/>
          </w:tcPr>
          <w:p>
            <w:pPr>
              <w:spacing w:after="0" w:before="0"/>
            </w:pPr>
            <w:r>
              <w:rPr>
                <w:sz w:val="17"/>
              </w:rPr>
              <w:t>Must</w:t>
            </w:r>
          </w:p>
        </w:tc>
        <w:tc>
          <w:tcPr>
            <w:tcW w:type="dxa" w:w="4056"/>
            <w:vAlign w:val="center"/>
            <w:tcMar>
              <w:top w:w="70" w:type="dxa"/>
              <w:start w:w="85" w:type="dxa"/>
              <w:bottom w:w="70" w:type="dxa"/>
              <w:end w:w="85" w:type="dxa"/>
            </w:tcMar>
            <w:shd w:fill="F4F7FA"/>
          </w:tcPr>
          <w:p>
            <w:pPr>
              <w:spacing w:after="0" w:before="0"/>
            </w:pPr>
            <w:r>
              <w:t>TC-FR08: each decision-table case in the Test Plan gives the expected eligible/ineligible result and reason.</w:t>
            </w:r>
          </w:p>
        </w:tc>
      </w:tr>
      <w:tr>
        <w:tc>
          <w:tcPr>
            <w:tcW w:type="dxa" w:w="1028"/>
            <w:vAlign w:val="center"/>
            <w:tcMar>
              <w:top w:w="70" w:type="dxa"/>
              <w:start w:w="85" w:type="dxa"/>
              <w:bottom w:w="70" w:type="dxa"/>
              <w:end w:w="85" w:type="dxa"/>
            </w:tcMar>
          </w:tcPr>
          <w:p>
            <w:pPr>
              <w:spacing w:after="0" w:before="0"/>
            </w:pPr>
            <w:r>
              <w:rPr>
                <w:sz w:val="17"/>
              </w:rPr>
              <w:t>FR-09</w:t>
            </w:r>
          </w:p>
        </w:tc>
        <w:tc>
          <w:tcPr>
            <w:tcW w:type="dxa" w:w="4056"/>
            <w:vAlign w:val="center"/>
            <w:tcMar>
              <w:top w:w="70" w:type="dxa"/>
              <w:start w:w="85" w:type="dxa"/>
              <w:bottom w:w="70" w:type="dxa"/>
              <w:end w:w="85" w:type="dxa"/>
            </w:tcMar>
          </w:tcPr>
          <w:p>
            <w:pPr>
              <w:spacing w:after="0" w:before="0"/>
            </w:pPr>
            <w:r>
              <w:t>The system shall issue one university-branded, uniquely numbered certificate to an eligible learner and let that learner view, download, and print it. A QR code or public verification link shall confirm that the certificate is valid without exposing private learner information. The serial format shall be approved by the Centre (for example, CC-CERT-2026-SE108-XXXX).</w:t>
            </w:r>
          </w:p>
        </w:tc>
        <w:tc>
          <w:tcPr>
            <w:tcW w:type="dxa" w:w="1028"/>
            <w:vAlign w:val="center"/>
            <w:tcMar>
              <w:top w:w="70" w:type="dxa"/>
              <w:start w:w="85" w:type="dxa"/>
              <w:bottom w:w="70" w:type="dxa"/>
              <w:end w:w="85" w:type="dxa"/>
            </w:tcMar>
          </w:tcPr>
          <w:p>
            <w:pPr>
              <w:spacing w:after="0" w:before="0"/>
            </w:pPr>
            <w:r>
              <w:rPr>
                <w:sz w:val="17"/>
              </w:rPr>
              <w:t>Must</w:t>
            </w:r>
          </w:p>
        </w:tc>
        <w:tc>
          <w:tcPr>
            <w:tcW w:type="dxa" w:w="4056"/>
            <w:vAlign w:val="center"/>
            <w:tcMar>
              <w:top w:w="70" w:type="dxa"/>
              <w:start w:w="85" w:type="dxa"/>
              <w:bottom w:w="70" w:type="dxa"/>
              <w:end w:w="85" w:type="dxa"/>
            </w:tcMar>
          </w:tcPr>
          <w:p>
            <w:pPr>
              <w:spacing w:after="0" w:before="0"/>
            </w:pPr>
            <w:r>
              <w:t>TC-FR09: an eligible learner retrieves one approved-branded certificate with a unique serial; the QR/link verifies it; an ineligible learner is denied; public verification reveals no private learner data.</w:t>
            </w:r>
          </w:p>
        </w:tc>
      </w:tr>
      <w:tr>
        <w:tc>
          <w:tcPr>
            <w:tcW w:type="dxa" w:w="1028"/>
            <w:vAlign w:val="center"/>
            <w:tcMar>
              <w:top w:w="70" w:type="dxa"/>
              <w:start w:w="85" w:type="dxa"/>
              <w:bottom w:w="70" w:type="dxa"/>
              <w:end w:w="85" w:type="dxa"/>
            </w:tcMar>
            <w:shd w:fill="F4F7FA"/>
          </w:tcPr>
          <w:p>
            <w:pPr>
              <w:spacing w:after="0" w:before="0"/>
            </w:pPr>
            <w:r>
              <w:rPr>
                <w:sz w:val="17"/>
              </w:rPr>
              <w:t>FR-10</w:t>
            </w:r>
          </w:p>
        </w:tc>
        <w:tc>
          <w:tcPr>
            <w:tcW w:type="dxa" w:w="4056"/>
            <w:vAlign w:val="center"/>
            <w:tcMar>
              <w:top w:w="70" w:type="dxa"/>
              <w:start w:w="85" w:type="dxa"/>
              <w:bottom w:w="70" w:type="dxa"/>
              <w:end w:w="85" w:type="dxa"/>
            </w:tcMar>
            <w:shd w:fill="F4F7FA"/>
          </w:tcPr>
          <w:p>
            <w:pPr>
              <w:spacing w:after="0" w:before="0"/>
            </w:pPr>
            <w:r>
              <w:t>The system shall give faculty a dashboard for their assigned courses showing enrolment counts against the 150-per-course annual target, learner progress and drop-off, quiz score/pass trends, course ratings/reviews, and learner questions in a discussion area.</w:t>
            </w:r>
          </w:p>
        </w:tc>
        <w:tc>
          <w:tcPr>
            <w:tcW w:type="dxa" w:w="1028"/>
            <w:vAlign w:val="center"/>
            <w:tcMar>
              <w:top w:w="70" w:type="dxa"/>
              <w:start w:w="85" w:type="dxa"/>
              <w:bottom w:w="70" w:type="dxa"/>
              <w:end w:w="85" w:type="dxa"/>
            </w:tcMar>
            <w:shd w:fill="F4F7FA"/>
          </w:tcPr>
          <w:p>
            <w:pPr>
              <w:spacing w:after="0" w:before="0"/>
            </w:pPr>
            <w:r>
              <w:rPr>
                <w:sz w:val="17"/>
              </w:rPr>
              <w:t>Should</w:t>
            </w:r>
          </w:p>
        </w:tc>
        <w:tc>
          <w:tcPr>
            <w:tcW w:type="dxa" w:w="4056"/>
            <w:vAlign w:val="center"/>
            <w:tcMar>
              <w:top w:w="70" w:type="dxa"/>
              <w:start w:w="85" w:type="dxa"/>
              <w:bottom w:w="70" w:type="dxa"/>
              <w:end w:w="85" w:type="dxa"/>
            </w:tcMar>
            <w:shd w:fill="F4F7FA"/>
          </w:tcPr>
          <w:p>
            <w:pPr>
              <w:spacing w:after="0" w:before="0"/>
            </w:pPr>
            <w:r>
              <w:t>TC-FR10: authorised faculty see accurate enrolment/progress/quiz/feedback information only for assigned courses and can respond to learner questions; other course data is denied.</w:t>
            </w:r>
          </w:p>
        </w:tc>
      </w:tr>
      <w:tr>
        <w:tc>
          <w:tcPr>
            <w:tcW w:type="dxa" w:w="1028"/>
            <w:vAlign w:val="center"/>
            <w:tcMar>
              <w:top w:w="70" w:type="dxa"/>
              <w:start w:w="85" w:type="dxa"/>
              <w:bottom w:w="70" w:type="dxa"/>
              <w:end w:w="85" w:type="dxa"/>
            </w:tcMar>
          </w:tcPr>
          <w:p>
            <w:pPr>
              <w:spacing w:after="0" w:before="0"/>
            </w:pPr>
            <w:r>
              <w:rPr>
                <w:sz w:val="17"/>
              </w:rPr>
              <w:t>FR-11</w:t>
            </w:r>
          </w:p>
        </w:tc>
        <w:tc>
          <w:tcPr>
            <w:tcW w:type="dxa" w:w="4056"/>
            <w:vAlign w:val="center"/>
            <w:tcMar>
              <w:top w:w="70" w:type="dxa"/>
              <w:start w:w="85" w:type="dxa"/>
              <w:bottom w:w="70" w:type="dxa"/>
              <w:end w:w="85" w:type="dxa"/>
            </w:tcMar>
          </w:tcPr>
          <w:p>
            <w:pPr>
              <w:spacing w:after="0" w:before="0"/>
            </w:pPr>
            <w:r>
              <w:t>The system shall let faculty submit 12 hours of course recordings and track each course through Scripted, Recorded, In Editing, and Published. The editor dashboard shall track Raw Ingested, Editing, Quality Check, Ready for Transcoding, and Published; show Phase 1 readiness for 8 courses (96 recorded hours) versus the 22-course follow-on roadmap; and display the 60-hour weekly team capacity, editor allocation, and production queue.</w:t>
            </w:r>
          </w:p>
        </w:tc>
        <w:tc>
          <w:tcPr>
            <w:tcW w:type="dxa" w:w="1028"/>
            <w:vAlign w:val="center"/>
            <w:tcMar>
              <w:top w:w="70" w:type="dxa"/>
              <w:start w:w="85" w:type="dxa"/>
              <w:bottom w:w="70" w:type="dxa"/>
              <w:end w:w="85" w:type="dxa"/>
            </w:tcMar>
          </w:tcPr>
          <w:p>
            <w:pPr>
              <w:spacing w:after="0" w:before="0"/>
            </w:pPr>
            <w:r>
              <w:rPr>
                <w:sz w:val="17"/>
              </w:rPr>
              <w:t>Must</w:t>
            </w:r>
          </w:p>
        </w:tc>
        <w:tc>
          <w:tcPr>
            <w:tcW w:type="dxa" w:w="4056"/>
            <w:vAlign w:val="center"/>
            <w:tcMar>
              <w:top w:w="70" w:type="dxa"/>
              <w:start w:w="85" w:type="dxa"/>
              <w:bottom w:w="70" w:type="dxa"/>
              <w:end w:w="85" w:type="dxa"/>
            </w:tcMar>
          </w:tcPr>
          <w:p>
            <w:pPr>
              <w:spacing w:after="0" w:before="0"/>
            </w:pPr>
            <w:r>
              <w:t>TC-FR11: authorised users can update the correct faculty/editor stage; the 8-course/96-hour first phase and 22-course roadmap reconcile with records; editor allocations do not exceed configured capacity; unauthorised updates are denied.</w:t>
            </w:r>
          </w:p>
        </w:tc>
      </w:tr>
      <w:tr>
        <w:tc>
          <w:tcPr>
            <w:tcW w:type="dxa" w:w="1028"/>
            <w:vAlign w:val="center"/>
            <w:tcMar>
              <w:top w:w="70" w:type="dxa"/>
              <w:start w:w="85" w:type="dxa"/>
              <w:bottom w:w="70" w:type="dxa"/>
              <w:end w:w="85" w:type="dxa"/>
            </w:tcMar>
            <w:shd w:fill="F4F7FA"/>
          </w:tcPr>
          <w:p>
            <w:pPr>
              <w:spacing w:after="0" w:before="0"/>
            </w:pPr>
            <w:r>
              <w:rPr>
                <w:sz w:val="17"/>
              </w:rPr>
              <w:t>FR-12</w:t>
            </w:r>
          </w:p>
        </w:tc>
        <w:tc>
          <w:tcPr>
            <w:tcW w:type="dxa" w:w="4056"/>
            <w:vAlign w:val="center"/>
            <w:tcMar>
              <w:top w:w="70" w:type="dxa"/>
              <w:start w:w="85" w:type="dxa"/>
              <w:bottom w:w="70" w:type="dxa"/>
              <w:end w:w="85" w:type="dxa"/>
            </w:tcMar>
            <w:shd w:fill="F4F7FA"/>
          </w:tcPr>
          <w:p>
            <w:pPr>
              <w:spacing w:after="0" w:before="0"/>
            </w:pPr>
            <w:r>
              <w:t>The system shall give administrators a dashboard for enrolments, payment status, actual and scenario revenue, course/content readiness, schedule critical path and float, risks/issues, and quality measures including DRE and defect density. It shall label projections and measured results separately.</w:t>
            </w:r>
          </w:p>
        </w:tc>
        <w:tc>
          <w:tcPr>
            <w:tcW w:type="dxa" w:w="1028"/>
            <w:vAlign w:val="center"/>
            <w:tcMar>
              <w:top w:w="70" w:type="dxa"/>
              <w:start w:w="85" w:type="dxa"/>
              <w:bottom w:w="70" w:type="dxa"/>
              <w:end w:w="85" w:type="dxa"/>
            </w:tcMar>
            <w:shd w:fill="F4F7FA"/>
          </w:tcPr>
          <w:p>
            <w:pPr>
              <w:spacing w:after="0" w:before="0"/>
            </w:pPr>
            <w:r>
              <w:rPr>
                <w:sz w:val="17"/>
              </w:rPr>
              <w:t>Should</w:t>
            </w:r>
          </w:p>
        </w:tc>
        <w:tc>
          <w:tcPr>
            <w:tcW w:type="dxa" w:w="4056"/>
            <w:vAlign w:val="center"/>
            <w:tcMar>
              <w:top w:w="70" w:type="dxa"/>
              <w:start w:w="85" w:type="dxa"/>
              <w:bottom w:w="70" w:type="dxa"/>
              <w:end w:w="85" w:type="dxa"/>
            </w:tcMar>
            <w:shd w:fill="F4F7FA"/>
          </w:tcPr>
          <w:p>
            <w:pPr>
              <w:spacing w:after="0" w:before="0"/>
            </w:pPr>
            <w:r>
              <w:t>TC-FR12: dashboard totals reconcile with source records; scenario values use the supplied fee and enrolment target; schedule/KPI source and status are visible; access is role-restricted.</w:t>
            </w:r>
          </w:p>
        </w:tc>
      </w:tr>
    </w:tbl>
    <w:p>
      <w:pPr>
        <w:spacing w:after="20"/>
      </w:pPr>
    </w:p>
    <w:p>
      <w:pPr>
        <w:pStyle w:val="Heading2"/>
      </w:pPr>
      <w:r>
        <w:rPr>
          <w:sz w:val="26"/>
        </w:rPr>
        <w:t>5. Non-functional requirements</w:t>
      </w:r>
    </w:p>
    <w:p>
      <w:r>
        <w:t>The targets below turn qualities such as video availability, security, and scalability into results that can be checked. Treat them as proposed acceptance criteria—not existing service promises—until the university approves the targets and test environment.</w:t>
      </w:r>
    </w:p>
    <w:tbl>
      <w:tblPr>
        <w:tblStyle w:val="TableGrid"/>
        <w:tblW w:type="auto" w:w="0"/>
        <w:jc w:val="center"/>
        <w:tblLayout w:type="fixed"/>
        <w:tblLook w:firstColumn="1" w:firstRow="1" w:lastColumn="0" w:lastRow="0" w:noHBand="0" w:noVBand="1" w:val="04A0"/>
      </w:tblPr>
      <w:tblGrid>
        <w:gridCol w:w="986"/>
        <w:gridCol w:w="1906"/>
        <w:gridCol w:w="3637"/>
        <w:gridCol w:w="3637"/>
      </w:tblGrid>
      <w:tr>
        <w:trPr>
          <w:tblHeader w:val="true"/>
        </w:trPr>
        <w:tc>
          <w:tcPr>
            <w:tcW w:type="dxa" w:w="986"/>
            <w:vAlign w:val="center"/>
            <w:tcMar>
              <w:top w:w="70" w:type="dxa"/>
              <w:start w:w="85" w:type="dxa"/>
              <w:bottom w:w="70" w:type="dxa"/>
              <w:end w:w="85" w:type="dxa"/>
            </w:tcMar>
            <w:shd w:fill="17365D"/>
          </w:tcPr>
          <w:p>
            <w:pPr>
              <w:spacing w:after="0" w:before="0"/>
            </w:pPr>
            <w:r>
              <w:rPr>
                <w:b/>
                <w:color w:val="FFFFFF"/>
                <w:sz w:val="17"/>
              </w:rPr>
              <w:t>ID</w:t>
            </w:r>
          </w:p>
        </w:tc>
        <w:tc>
          <w:tcPr>
            <w:tcW w:type="dxa" w:w="1906"/>
            <w:vAlign w:val="center"/>
            <w:tcMar>
              <w:top w:w="70" w:type="dxa"/>
              <w:start w:w="85" w:type="dxa"/>
              <w:bottom w:w="70" w:type="dxa"/>
              <w:end w:w="85" w:type="dxa"/>
            </w:tcMar>
            <w:shd w:fill="17365D"/>
          </w:tcPr>
          <w:p>
            <w:pPr>
              <w:spacing w:after="0" w:before="0"/>
            </w:pPr>
            <w:r>
              <w:rPr>
                <w:b/>
                <w:color w:val="FFFFFF"/>
                <w:sz w:val="17"/>
              </w:rPr>
              <w:t>Quality area</w:t>
            </w:r>
          </w:p>
        </w:tc>
        <w:tc>
          <w:tcPr>
            <w:tcW w:type="dxa" w:w="3637"/>
            <w:vAlign w:val="center"/>
            <w:tcMar>
              <w:top w:w="70" w:type="dxa"/>
              <w:start w:w="85" w:type="dxa"/>
              <w:bottom w:w="70" w:type="dxa"/>
              <w:end w:w="85" w:type="dxa"/>
            </w:tcMar>
            <w:shd w:fill="17365D"/>
          </w:tcPr>
          <w:p>
            <w:pPr>
              <w:spacing w:after="0" w:before="0"/>
            </w:pPr>
            <w:r>
              <w:rPr>
                <w:b/>
                <w:color w:val="FFFFFF"/>
                <w:sz w:val="17"/>
              </w:rPr>
              <w:t>Requirement and measurable target</w:t>
            </w:r>
          </w:p>
        </w:tc>
        <w:tc>
          <w:tcPr>
            <w:tcW w:type="dxa" w:w="3637"/>
            <w:vAlign w:val="center"/>
            <w:tcMar>
              <w:top w:w="70" w:type="dxa"/>
              <w:start w:w="85" w:type="dxa"/>
              <w:bottom w:w="70" w:type="dxa"/>
              <w:end w:w="85" w:type="dxa"/>
            </w:tcMar>
            <w:shd w:fill="17365D"/>
          </w:tcPr>
          <w:p>
            <w:pPr>
              <w:spacing w:after="0" w:before="0"/>
            </w:pPr>
            <w:r>
              <w:rPr>
                <w:b/>
                <w:color w:val="FFFFFF"/>
                <w:sz w:val="17"/>
              </w:rPr>
              <w:t>Verification</w:t>
            </w:r>
          </w:p>
        </w:tc>
      </w:tr>
      <w:tr>
        <w:tc>
          <w:tcPr>
            <w:tcW w:type="dxa" w:w="986"/>
            <w:vAlign w:val="center"/>
            <w:tcMar>
              <w:top w:w="70" w:type="dxa"/>
              <w:start w:w="85" w:type="dxa"/>
              <w:bottom w:w="70" w:type="dxa"/>
              <w:end w:w="85" w:type="dxa"/>
            </w:tcMar>
          </w:tcPr>
          <w:p>
            <w:pPr>
              <w:spacing w:after="0" w:before="0"/>
            </w:pPr>
            <w:r>
              <w:rPr>
                <w:sz w:val="17"/>
              </w:rPr>
              <w:t>NFR-01</w:t>
            </w:r>
          </w:p>
        </w:tc>
        <w:tc>
          <w:tcPr>
            <w:tcW w:type="dxa" w:w="1906"/>
            <w:vAlign w:val="center"/>
            <w:tcMar>
              <w:top w:w="70" w:type="dxa"/>
              <w:start w:w="85" w:type="dxa"/>
              <w:bottom w:w="70" w:type="dxa"/>
              <w:end w:w="85" w:type="dxa"/>
            </w:tcMar>
          </w:tcPr>
          <w:p>
            <w:pPr>
              <w:spacing w:after="0" w:before="0"/>
            </w:pPr>
            <w:r>
              <w:rPr>
                <w:sz w:val="17"/>
              </w:rPr>
              <w:t>Video availability</w:t>
            </w:r>
          </w:p>
        </w:tc>
        <w:tc>
          <w:tcPr>
            <w:tcW w:type="dxa" w:w="3637"/>
            <w:vAlign w:val="center"/>
            <w:tcMar>
              <w:top w:w="70" w:type="dxa"/>
              <w:start w:w="85" w:type="dxa"/>
              <w:bottom w:w="70" w:type="dxa"/>
              <w:end w:w="85" w:type="dxa"/>
            </w:tcMar>
          </w:tcPr>
          <w:p>
            <w:pPr>
              <w:spacing w:after="0" w:before="0"/>
            </w:pPr>
            <w:r>
              <w:rPr>
                <w:sz w:val="17"/>
              </w:rPr>
              <w:t xml:space="preserve">During a 30-day production-like pilot, at least </w:t>
            </w:r>
            <w:r>
              <w:rPr>
                <w:b/>
                <w:sz w:val="17"/>
              </w:rPr>
              <w:t>99.5%</w:t>
            </w:r>
            <w:r>
              <w:rPr>
                <w:sz w:val="17"/>
              </w:rPr>
              <w:t xml:space="preserve"> of scheduled learner video-playback probes shall return a playable stream within </w:t>
            </w:r>
            <w:r>
              <w:rPr>
                <w:b/>
                <w:sz w:val="17"/>
              </w:rPr>
              <w:t>10 seconds</w:t>
            </w:r>
            <w:r>
              <w:rPr>
                <w:sz w:val="17"/>
              </w:rPr>
              <w:t>, excluding documented learner-side network failures and planned maintenance.</w:t>
            </w:r>
          </w:p>
        </w:tc>
        <w:tc>
          <w:tcPr>
            <w:tcW w:type="dxa" w:w="3637"/>
            <w:vAlign w:val="center"/>
            <w:tcMar>
              <w:top w:w="70" w:type="dxa"/>
              <w:start w:w="85" w:type="dxa"/>
              <w:bottom w:w="70" w:type="dxa"/>
              <w:end w:w="85" w:type="dxa"/>
            </w:tcMar>
          </w:tcPr>
          <w:p>
            <w:pPr>
              <w:spacing w:after="0" w:before="0"/>
            </w:pPr>
            <w:r>
              <w:rPr>
                <w:sz w:val="17"/>
              </w:rPr>
              <w:t>Automated probes across representative lessons; report numerator, denominator, exclusions, and outage windows.</w:t>
            </w:r>
          </w:p>
        </w:tc>
      </w:tr>
      <w:tr>
        <w:tc>
          <w:tcPr>
            <w:tcW w:type="dxa" w:w="986"/>
            <w:vAlign w:val="center"/>
            <w:tcMar>
              <w:top w:w="70" w:type="dxa"/>
              <w:start w:w="85" w:type="dxa"/>
              <w:bottom w:w="70" w:type="dxa"/>
              <w:end w:w="85" w:type="dxa"/>
            </w:tcMar>
            <w:shd w:fill="F4F7FA"/>
          </w:tcPr>
          <w:p>
            <w:pPr>
              <w:spacing w:after="0" w:before="0"/>
            </w:pPr>
            <w:r>
              <w:rPr>
                <w:sz w:val="17"/>
              </w:rPr>
              <w:t>NFR-02</w:t>
            </w:r>
          </w:p>
        </w:tc>
        <w:tc>
          <w:tcPr>
            <w:tcW w:type="dxa" w:w="1906"/>
            <w:vAlign w:val="center"/>
            <w:tcMar>
              <w:top w:w="70" w:type="dxa"/>
              <w:start w:w="85" w:type="dxa"/>
              <w:bottom w:w="70" w:type="dxa"/>
              <w:end w:w="85" w:type="dxa"/>
            </w:tcMar>
            <w:shd w:fill="F4F7FA"/>
          </w:tcPr>
          <w:p>
            <w:pPr>
              <w:spacing w:after="0" w:before="0"/>
            </w:pPr>
            <w:r>
              <w:rPr>
                <w:sz w:val="17"/>
              </w:rPr>
              <w:t>Video start performance</w:t>
            </w:r>
          </w:p>
        </w:tc>
        <w:tc>
          <w:tcPr>
            <w:tcW w:type="dxa" w:w="3637"/>
            <w:vAlign w:val="center"/>
            <w:tcMar>
              <w:top w:w="70" w:type="dxa"/>
              <w:start w:w="85" w:type="dxa"/>
              <w:bottom w:w="70" w:type="dxa"/>
              <w:end w:w="85" w:type="dxa"/>
            </w:tcMar>
            <w:shd w:fill="F4F7FA"/>
          </w:tcPr>
          <w:p>
            <w:pPr>
              <w:spacing w:after="0" w:before="0"/>
            </w:pPr>
            <w:r>
              <w:rPr>
                <w:sz w:val="17"/>
              </w:rPr>
              <w:t xml:space="preserve">Under </w:t>
            </w:r>
            <w:r>
              <w:rPr>
                <w:b/>
                <w:sz w:val="17"/>
              </w:rPr>
              <w:t>200 concurrent playback-start requests</w:t>
            </w:r>
            <w:r>
              <w:rPr>
                <w:sz w:val="17"/>
              </w:rPr>
              <w:t xml:space="preserve"> in the agreed test environment, at least </w:t>
            </w:r>
            <w:r>
              <w:rPr>
                <w:b/>
                <w:sz w:val="17"/>
              </w:rPr>
              <w:t>95%</w:t>
            </w:r>
            <w:r>
              <w:rPr>
                <w:sz w:val="17"/>
              </w:rPr>
              <w:t xml:space="preserve"> shall begin playback within </w:t>
            </w:r>
            <w:r>
              <w:rPr>
                <w:b/>
                <w:sz w:val="17"/>
              </w:rPr>
              <w:t>5 seconds</w:t>
            </w:r>
            <w:r>
              <w:rPr>
                <w:sz w:val="17"/>
              </w:rPr>
              <w:t xml:space="preserve"> after the delivery service returns a valid asset response.</w:t>
            </w:r>
          </w:p>
        </w:tc>
        <w:tc>
          <w:tcPr>
            <w:tcW w:type="dxa" w:w="3637"/>
            <w:vAlign w:val="center"/>
            <w:tcMar>
              <w:top w:w="70" w:type="dxa"/>
              <w:start w:w="85" w:type="dxa"/>
              <w:bottom w:w="70" w:type="dxa"/>
              <w:end w:w="85" w:type="dxa"/>
            </w:tcMar>
            <w:shd w:fill="F4F7FA"/>
          </w:tcPr>
          <w:p>
            <w:pPr>
              <w:spacing w:after="0" w:before="0"/>
            </w:pPr>
            <w:r>
              <w:rPr>
                <w:sz w:val="17"/>
              </w:rPr>
              <w:t>Load test with timestamped start measurements; separate platform and CDN/provider delay.</w:t>
            </w:r>
          </w:p>
        </w:tc>
      </w:tr>
      <w:tr>
        <w:tc>
          <w:tcPr>
            <w:tcW w:type="dxa" w:w="986"/>
            <w:vAlign w:val="center"/>
            <w:tcMar>
              <w:top w:w="70" w:type="dxa"/>
              <w:start w:w="85" w:type="dxa"/>
              <w:bottom w:w="70" w:type="dxa"/>
              <w:end w:w="85" w:type="dxa"/>
            </w:tcMar>
          </w:tcPr>
          <w:p>
            <w:pPr>
              <w:spacing w:after="0" w:before="0"/>
            </w:pPr>
            <w:r>
              <w:rPr>
                <w:sz w:val="17"/>
              </w:rPr>
              <w:t>NFR-03</w:t>
            </w:r>
          </w:p>
        </w:tc>
        <w:tc>
          <w:tcPr>
            <w:tcW w:type="dxa" w:w="1906"/>
            <w:vAlign w:val="center"/>
            <w:tcMar>
              <w:top w:w="70" w:type="dxa"/>
              <w:start w:w="85" w:type="dxa"/>
              <w:bottom w:w="70" w:type="dxa"/>
              <w:end w:w="85" w:type="dxa"/>
            </w:tcMar>
          </w:tcPr>
          <w:p>
            <w:pPr>
              <w:spacing w:after="0" w:before="0"/>
            </w:pPr>
            <w:r>
              <w:rPr>
                <w:sz w:val="17"/>
              </w:rPr>
              <w:t>Security—authentication and roles</w:t>
            </w:r>
          </w:p>
        </w:tc>
        <w:tc>
          <w:tcPr>
            <w:tcW w:type="dxa" w:w="3637"/>
            <w:vAlign w:val="center"/>
            <w:tcMar>
              <w:top w:w="70" w:type="dxa"/>
              <w:start w:w="85" w:type="dxa"/>
              <w:bottom w:w="70" w:type="dxa"/>
              <w:end w:w="85" w:type="dxa"/>
            </w:tcMar>
          </w:tcPr>
          <w:p>
            <w:pPr>
              <w:spacing w:after="0" w:before="0"/>
            </w:pPr>
            <w:r>
              <w:t>100% of protected API/UI tests without a valid session shall be denied, and 100% of cross-role access tests shall enforce least privilege. Public certificate verification shall return a valid/invalid status without exposing private learner information.</w:t>
            </w:r>
          </w:p>
        </w:tc>
        <w:tc>
          <w:tcPr>
            <w:tcW w:type="dxa" w:w="3637"/>
            <w:vAlign w:val="center"/>
            <w:tcMar>
              <w:top w:w="70" w:type="dxa"/>
              <w:start w:w="85" w:type="dxa"/>
              <w:bottom w:w="70" w:type="dxa"/>
              <w:end w:w="85" w:type="dxa"/>
            </w:tcMar>
          </w:tcPr>
          <w:p>
            <w:pPr>
              <w:spacing w:after="0" w:before="0"/>
            </w:pPr>
            <w:r>
              <w:t>Automated negative and cross-role tests; test every public certificate lookup for valid, invalid, and revoked IDs and confirm that no private learner data is returned.</w:t>
            </w:r>
          </w:p>
        </w:tc>
      </w:tr>
      <w:tr>
        <w:tc>
          <w:tcPr>
            <w:tcW w:type="dxa" w:w="986"/>
            <w:vAlign w:val="center"/>
            <w:tcMar>
              <w:top w:w="70" w:type="dxa"/>
              <w:start w:w="85" w:type="dxa"/>
              <w:bottom w:w="70" w:type="dxa"/>
              <w:end w:w="85" w:type="dxa"/>
            </w:tcMar>
            <w:shd w:fill="F4F7FA"/>
          </w:tcPr>
          <w:p>
            <w:pPr>
              <w:spacing w:after="0" w:before="0"/>
            </w:pPr>
            <w:r>
              <w:rPr>
                <w:sz w:val="17"/>
              </w:rPr>
              <w:t>NFR-04</w:t>
            </w:r>
          </w:p>
        </w:tc>
        <w:tc>
          <w:tcPr>
            <w:tcW w:type="dxa" w:w="1906"/>
            <w:vAlign w:val="center"/>
            <w:tcMar>
              <w:top w:w="70" w:type="dxa"/>
              <w:start w:w="85" w:type="dxa"/>
              <w:bottom w:w="70" w:type="dxa"/>
              <w:end w:w="85" w:type="dxa"/>
            </w:tcMar>
            <w:shd w:fill="F4F7FA"/>
          </w:tcPr>
          <w:p>
            <w:pPr>
              <w:spacing w:after="0" w:before="0"/>
            </w:pPr>
            <w:r>
              <w:rPr>
                <w:sz w:val="17"/>
              </w:rPr>
              <w:t>Security—transport and secrets</w:t>
            </w:r>
          </w:p>
        </w:tc>
        <w:tc>
          <w:tcPr>
            <w:tcW w:type="dxa" w:w="3637"/>
            <w:vAlign w:val="center"/>
            <w:tcMar>
              <w:top w:w="70" w:type="dxa"/>
              <w:start w:w="85" w:type="dxa"/>
              <w:bottom w:w="70" w:type="dxa"/>
              <w:end w:w="85" w:type="dxa"/>
            </w:tcMar>
            <w:shd w:fill="F4F7FA"/>
          </w:tcPr>
          <w:p>
            <w:pPr>
              <w:spacing w:after="0" w:before="0"/>
            </w:pPr>
            <w:r>
              <w:rPr>
                <w:b/>
                <w:sz w:val="17"/>
              </w:rPr>
              <w:t>100%</w:t>
            </w:r>
            <w:r>
              <w:rPr>
                <w:sz w:val="17"/>
              </w:rPr>
              <w:t xml:space="preserve"> of production endpoints carrying credentials, learner records, payment references, or video access tokens shall use TLS 1.2 or later; </w:t>
            </w:r>
            <w:r>
              <w:rPr>
                <w:b/>
                <w:sz w:val="17"/>
              </w:rPr>
              <w:t>zero</w:t>
            </w:r>
            <w:r>
              <w:rPr>
                <w:sz w:val="17"/>
              </w:rPr>
              <w:t xml:space="preserve"> high/critical plaintext-secret findings in the release scan.</w:t>
            </w:r>
          </w:p>
        </w:tc>
        <w:tc>
          <w:tcPr>
            <w:tcW w:type="dxa" w:w="3637"/>
            <w:vAlign w:val="center"/>
            <w:tcMar>
              <w:top w:w="70" w:type="dxa"/>
              <w:start w:w="85" w:type="dxa"/>
              <w:bottom w:w="70" w:type="dxa"/>
              <w:end w:w="85" w:type="dxa"/>
            </w:tcMar>
            <w:shd w:fill="F4F7FA"/>
          </w:tcPr>
          <w:p>
            <w:pPr>
              <w:spacing w:after="0" w:before="0"/>
            </w:pPr>
            <w:r>
              <w:rPr>
                <w:sz w:val="17"/>
              </w:rPr>
              <w:t>TLS scan, secret scan, configuration inspection.</w:t>
            </w:r>
          </w:p>
        </w:tc>
      </w:tr>
      <w:tr>
        <w:tc>
          <w:tcPr>
            <w:tcW w:type="dxa" w:w="986"/>
            <w:vAlign w:val="center"/>
            <w:tcMar>
              <w:top w:w="70" w:type="dxa"/>
              <w:start w:w="85" w:type="dxa"/>
              <w:bottom w:w="70" w:type="dxa"/>
              <w:end w:w="85" w:type="dxa"/>
            </w:tcMar>
          </w:tcPr>
          <w:p>
            <w:pPr>
              <w:spacing w:after="0" w:before="0"/>
            </w:pPr>
            <w:r>
              <w:rPr>
                <w:sz w:val="17"/>
              </w:rPr>
              <w:t>NFR-05</w:t>
            </w:r>
          </w:p>
        </w:tc>
        <w:tc>
          <w:tcPr>
            <w:tcW w:type="dxa" w:w="1906"/>
            <w:vAlign w:val="center"/>
            <w:tcMar>
              <w:top w:w="70" w:type="dxa"/>
              <w:start w:w="85" w:type="dxa"/>
              <w:bottom w:w="70" w:type="dxa"/>
              <w:end w:w="85" w:type="dxa"/>
            </w:tcMar>
          </w:tcPr>
          <w:p>
            <w:pPr>
              <w:spacing w:after="0" w:before="0"/>
            </w:pPr>
            <w:r>
              <w:rPr>
                <w:sz w:val="17"/>
              </w:rPr>
              <w:t>Security—payment data</w:t>
            </w:r>
          </w:p>
        </w:tc>
        <w:tc>
          <w:tcPr>
            <w:tcW w:type="dxa" w:w="3637"/>
            <w:vAlign w:val="center"/>
            <w:tcMar>
              <w:top w:w="70" w:type="dxa"/>
              <w:start w:w="85" w:type="dxa"/>
              <w:bottom w:w="70" w:type="dxa"/>
              <w:end w:w="85" w:type="dxa"/>
            </w:tcMar>
          </w:tcPr>
          <w:p>
            <w:pPr>
              <w:spacing w:after="0" w:before="0"/>
            </w:pPr>
            <w:r>
              <w:rPr>
                <w:sz w:val="17"/>
              </w:rPr>
              <w:t xml:space="preserve">The application shall store </w:t>
            </w:r>
            <w:r>
              <w:rPr>
                <w:b/>
                <w:sz w:val="17"/>
              </w:rPr>
              <w:t>zero</w:t>
            </w:r>
            <w:r>
              <w:rPr>
                <w:sz w:val="17"/>
              </w:rPr>
              <w:t xml:space="preserve"> raw card numbers or card security codes; a seeded payment-data inspection shall find only approved provider references/statuses.</w:t>
            </w:r>
          </w:p>
        </w:tc>
        <w:tc>
          <w:tcPr>
            <w:tcW w:type="dxa" w:w="3637"/>
            <w:vAlign w:val="center"/>
            <w:tcMar>
              <w:top w:w="70" w:type="dxa"/>
              <w:start w:w="85" w:type="dxa"/>
              <w:bottom w:w="70" w:type="dxa"/>
              <w:end w:w="85" w:type="dxa"/>
            </w:tcMar>
          </w:tcPr>
          <w:p>
            <w:pPr>
              <w:spacing w:after="0" w:before="0"/>
            </w:pPr>
            <w:r>
              <w:rPr>
                <w:sz w:val="17"/>
              </w:rPr>
              <w:t>Schema/code review and test-data inspection before go-live.</w:t>
            </w:r>
          </w:p>
        </w:tc>
      </w:tr>
      <w:tr>
        <w:tc>
          <w:tcPr>
            <w:tcW w:type="dxa" w:w="986"/>
            <w:vAlign w:val="center"/>
            <w:tcMar>
              <w:top w:w="70" w:type="dxa"/>
              <w:start w:w="85" w:type="dxa"/>
              <w:bottom w:w="70" w:type="dxa"/>
              <w:end w:w="85" w:type="dxa"/>
            </w:tcMar>
            <w:shd w:fill="F4F7FA"/>
          </w:tcPr>
          <w:p>
            <w:pPr>
              <w:spacing w:after="0" w:before="0"/>
            </w:pPr>
            <w:r>
              <w:rPr>
                <w:sz w:val="17"/>
              </w:rPr>
              <w:t>NFR-06</w:t>
            </w:r>
          </w:p>
        </w:tc>
        <w:tc>
          <w:tcPr>
            <w:tcW w:type="dxa" w:w="1906"/>
            <w:vAlign w:val="center"/>
            <w:tcMar>
              <w:top w:w="70" w:type="dxa"/>
              <w:start w:w="85" w:type="dxa"/>
              <w:bottom w:w="70" w:type="dxa"/>
              <w:end w:w="85" w:type="dxa"/>
            </w:tcMar>
            <w:shd w:fill="F4F7FA"/>
          </w:tcPr>
          <w:p>
            <w:pPr>
              <w:spacing w:after="0" w:before="0"/>
            </w:pPr>
            <w:r>
              <w:t>Scalability and dashboard response time</w:t>
            </w:r>
          </w:p>
        </w:tc>
        <w:tc>
          <w:tcPr>
            <w:tcW w:type="dxa" w:w="3637"/>
            <w:vAlign w:val="center"/>
            <w:tcMar>
              <w:top w:w="70" w:type="dxa"/>
              <w:start w:w="85" w:type="dxa"/>
              <w:bottom w:w="70" w:type="dxa"/>
              <w:end w:w="85" w:type="dxa"/>
            </w:tcMar>
            <w:shd w:fill="F4F7FA"/>
          </w:tcPr>
          <w:p>
            <w:pPr>
              <w:spacing w:after="0" w:before="0"/>
            </w:pPr>
            <w:r>
              <w:t>With 500 concurrent users performing the agreed mixed dashboard, browse, progress, and quiz workload, at least 95% of non-video page/API requests shall complete within 1.5 seconds and the error rate shall remain below 1% during a 30-minute steady-state test. The 500-user and 1.5-second values come from the dashboard brief; the percentile, error limit, and run length are proposed measurement details.</w:t>
            </w:r>
          </w:p>
        </w:tc>
        <w:tc>
          <w:tcPr>
            <w:tcW w:type="dxa" w:w="3637"/>
            <w:vAlign w:val="center"/>
            <w:tcMar>
              <w:top w:w="70" w:type="dxa"/>
              <w:start w:w="85" w:type="dxa"/>
              <w:bottom w:w="70" w:type="dxa"/>
              <w:end w:w="85" w:type="dxa"/>
            </w:tcMar>
            <w:shd w:fill="F4F7FA"/>
          </w:tcPr>
          <w:p>
            <w:pPr>
              <w:spacing w:after="0" w:before="0"/>
            </w:pPr>
            <w:r>
              <w:t>Repeatable 500-user load test; report p50/p95/p99 response times, error rate, workload, and environment. Measure video traffic separately.</w:t>
            </w:r>
          </w:p>
        </w:tc>
      </w:tr>
      <w:tr>
        <w:tc>
          <w:tcPr>
            <w:tcW w:type="dxa" w:w="986"/>
            <w:vAlign w:val="center"/>
            <w:tcMar>
              <w:top w:w="70" w:type="dxa"/>
              <w:start w:w="85" w:type="dxa"/>
              <w:bottom w:w="70" w:type="dxa"/>
              <w:end w:w="85" w:type="dxa"/>
            </w:tcMar>
          </w:tcPr>
          <w:p>
            <w:pPr>
              <w:spacing w:after="0" w:before="0"/>
            </w:pPr>
            <w:r>
              <w:rPr>
                <w:sz w:val="17"/>
              </w:rPr>
              <w:t>NFR-07</w:t>
            </w:r>
          </w:p>
        </w:tc>
        <w:tc>
          <w:tcPr>
            <w:tcW w:type="dxa" w:w="1906"/>
            <w:vAlign w:val="center"/>
            <w:tcMar>
              <w:top w:w="70" w:type="dxa"/>
              <w:start w:w="85" w:type="dxa"/>
              <w:bottom w:w="70" w:type="dxa"/>
              <w:end w:w="85" w:type="dxa"/>
            </w:tcMar>
          </w:tcPr>
          <w:p>
            <w:pPr>
              <w:spacing w:after="0" w:before="0"/>
            </w:pPr>
            <w:r>
              <w:rPr>
                <w:sz w:val="17"/>
              </w:rPr>
              <w:t>Data integrity and recovery</w:t>
            </w:r>
          </w:p>
        </w:tc>
        <w:tc>
          <w:tcPr>
            <w:tcW w:type="dxa" w:w="3637"/>
            <w:vAlign w:val="center"/>
            <w:tcMar>
              <w:top w:w="70" w:type="dxa"/>
              <w:start w:w="85" w:type="dxa"/>
              <w:bottom w:w="70" w:type="dxa"/>
              <w:end w:w="85" w:type="dxa"/>
            </w:tcMar>
          </w:tcPr>
          <w:p>
            <w:pPr>
              <w:spacing w:after="0" w:before="0"/>
            </w:pPr>
            <w:r>
              <w:rPr>
                <w:sz w:val="17"/>
              </w:rPr>
              <w:t xml:space="preserve">For a backup/restore exercise, </w:t>
            </w:r>
            <w:r>
              <w:rPr>
                <w:b/>
                <w:sz w:val="17"/>
              </w:rPr>
              <w:t>100%</w:t>
            </w:r>
            <w:r>
              <w:rPr>
                <w:sz w:val="17"/>
              </w:rPr>
              <w:t xml:space="preserve"> of seeded enrolment, payment-status, progress, quiz, and certificate records shall be restored with no duplicate certificate IDs; proposed recovery point objective </w:t>
            </w:r>
            <w:r>
              <w:rPr>
                <w:b/>
                <w:sz w:val="17"/>
              </w:rPr>
              <w:t>24 hours</w:t>
            </w:r>
            <w:r>
              <w:rPr>
                <w:sz w:val="17"/>
              </w:rPr>
              <w:t xml:space="preserve"> and recovery time objective </w:t>
            </w:r>
            <w:r>
              <w:rPr>
                <w:b/>
                <w:sz w:val="17"/>
              </w:rPr>
              <w:t>8 hours</w:t>
            </w:r>
            <w:r>
              <w:rPr>
                <w:sz w:val="17"/>
              </w:rPr>
              <w:t>.</w:t>
            </w:r>
          </w:p>
        </w:tc>
        <w:tc>
          <w:tcPr>
            <w:tcW w:type="dxa" w:w="3637"/>
            <w:vAlign w:val="center"/>
            <w:tcMar>
              <w:top w:w="70" w:type="dxa"/>
              <w:start w:w="85" w:type="dxa"/>
              <w:bottom w:w="70" w:type="dxa"/>
              <w:end w:w="85" w:type="dxa"/>
            </w:tcMar>
          </w:tcPr>
          <w:p>
            <w:pPr>
              <w:spacing w:after="0" w:before="0"/>
            </w:pPr>
            <w:r>
              <w:rPr>
                <w:sz w:val="17"/>
              </w:rPr>
              <w:t>Documented restore drill and record reconciliation.</w:t>
            </w:r>
          </w:p>
        </w:tc>
      </w:tr>
      <w:tr>
        <w:tc>
          <w:tcPr>
            <w:tcW w:type="dxa" w:w="986"/>
            <w:vAlign w:val="center"/>
            <w:tcMar>
              <w:top w:w="70" w:type="dxa"/>
              <w:start w:w="85" w:type="dxa"/>
              <w:bottom w:w="70" w:type="dxa"/>
              <w:end w:w="85" w:type="dxa"/>
            </w:tcMar>
            <w:shd w:fill="F4F7FA"/>
          </w:tcPr>
          <w:p>
            <w:pPr>
              <w:spacing w:after="0" w:before="0"/>
            </w:pPr>
            <w:r>
              <w:rPr>
                <w:sz w:val="17"/>
              </w:rPr>
              <w:t>NFR-08</w:t>
            </w:r>
          </w:p>
        </w:tc>
        <w:tc>
          <w:tcPr>
            <w:tcW w:type="dxa" w:w="1906"/>
            <w:vAlign w:val="center"/>
            <w:tcMar>
              <w:top w:w="70" w:type="dxa"/>
              <w:start w:w="85" w:type="dxa"/>
              <w:bottom w:w="70" w:type="dxa"/>
              <w:end w:w="85" w:type="dxa"/>
            </w:tcMar>
            <w:shd w:fill="F4F7FA"/>
          </w:tcPr>
          <w:p>
            <w:pPr>
              <w:spacing w:after="0" w:before="0"/>
            </w:pPr>
            <w:r>
              <w:rPr>
                <w:sz w:val="17"/>
              </w:rPr>
              <w:t>Accessibility and compatibility</w:t>
            </w:r>
          </w:p>
        </w:tc>
        <w:tc>
          <w:tcPr>
            <w:tcW w:type="dxa" w:w="3637"/>
            <w:vAlign w:val="center"/>
            <w:tcMar>
              <w:top w:w="70" w:type="dxa"/>
              <w:start w:w="85" w:type="dxa"/>
              <w:bottom w:w="70" w:type="dxa"/>
              <w:end w:w="85" w:type="dxa"/>
            </w:tcMar>
            <w:shd w:fill="F4F7FA"/>
          </w:tcPr>
          <w:p>
            <w:pPr>
              <w:spacing w:after="0" w:before="0"/>
            </w:pPr>
            <w:r>
              <w:rPr>
                <w:sz w:val="17"/>
              </w:rPr>
              <w:t xml:space="preserve">All critical learner journeys shall pass the university-approved accessibility checklist with </w:t>
            </w:r>
            <w:r>
              <w:rPr>
                <w:b/>
                <w:sz w:val="17"/>
              </w:rPr>
              <w:t>zero critical violations</w:t>
            </w:r>
            <w:r>
              <w:rPr>
                <w:sz w:val="17"/>
              </w:rPr>
              <w:t>, and shall complete successfully on the two latest stable versions of the agreed desktop browsers and one agreed mobile browser.</w:t>
            </w:r>
          </w:p>
        </w:tc>
        <w:tc>
          <w:tcPr>
            <w:tcW w:type="dxa" w:w="3637"/>
            <w:vAlign w:val="center"/>
            <w:tcMar>
              <w:top w:w="70" w:type="dxa"/>
              <w:start w:w="85" w:type="dxa"/>
              <w:bottom w:w="70" w:type="dxa"/>
              <w:end w:w="85" w:type="dxa"/>
            </w:tcMar>
            <w:shd w:fill="F4F7FA"/>
          </w:tcPr>
          <w:p>
            <w:pPr>
              <w:spacing w:after="0" w:before="0"/>
            </w:pPr>
            <w:r>
              <w:rPr>
                <w:sz w:val="17"/>
              </w:rPr>
              <w:t>Manual/automated accessibility review and browser-matrix execution; exact standard/browser list to be approved.</w:t>
            </w:r>
          </w:p>
        </w:tc>
      </w:tr>
    </w:tbl>
    <w:p>
      <w:pPr>
        <w:spacing w:after="20"/>
      </w:pPr>
    </w:p>
    <w:p>
      <w:pPr>
        <w:pStyle w:val="Heading3"/>
      </w:pPr>
      <w:r>
        <w:rPr>
          <w:sz w:val="21"/>
        </w:rPr>
        <w:t>5.1 Data requirements</w:t>
      </w:r>
    </w:p>
    <w:p>
      <w:r>
        <w:rPr>
          <w:sz w:val="19"/>
        </w:rPr>
        <w:t>Minimum entities include user/profile and role; course; lesson/video asset reference; enrolment; payment reference/status; lesson progress; quiz, attempt, and score; certificate; and audit event. Data ownership, retention, deletion, and export rules are university decisions to document before production. Access to learner-level data must be role-limited and auditable.</w:t>
      </w:r>
    </w:p>
    <w:p>
      <w:pPr>
        <w:pStyle w:val="Heading3"/>
      </w:pPr>
      <w:r>
        <w:rPr>
          <w:sz w:val="21"/>
        </w:rPr>
        <w:t>5.2 Security and privacy constraints</w:t>
      </w:r>
    </w:p>
    <w:p>
      <w:r>
        <w:rPr>
          <w:sz w:val="19"/>
        </w:rPr>
        <w:t>Use least privilege, secure transport, verified payment callbacks, protected video access, secret management, audit events for administrative changes, and only necessary payment references. Final controls must be mapped to the university's approved policies and applicable law by the authorised institutional owner.</w:t>
      </w:r>
    </w:p>
    <w:p>
      <w:pPr>
        <w:pStyle w:val="Heading3"/>
      </w:pPr>
      <w:r>
        <w:rPr>
          <w:sz w:val="21"/>
        </w:rPr>
        <w:t>5.3 Proposed certificate rule baseline (requires approval)</w:t>
      </w:r>
    </w:p>
    <w:p>
      <w:r>
        <w:t>Under the dashboard brief’s proposed rule, a learner is eligible for a certificate only when all three conditions are met: (a) the course enrolment is paid, (b) required lesson completion is 100%, and (c) the quiz score is at least 70%. Each learner-course completion receives one certificate. If the learner requests it again, the system returns the same certificate rather than creating a duplicate. The Centre must approve how refunds, withdrawals, retakes, and course expiry affect eligibility.</w:t>
      </w:r>
    </w:p>
    <w:p>
      <w:pPr>
        <w:pStyle w:val="Heading2"/>
      </w:pPr>
      <w:r>
        <w:rPr>
          <w:sz w:val="26"/>
        </w:rPr>
        <w:t>6. Constraints, exclusions, and unresolved decisions</w:t>
      </w:r>
    </w:p>
    <w:p>
      <w:pPr>
        <w:pStyle w:val="ListBullet"/>
      </w:pPr>
      <w:r>
        <w:rPr>
          <w:sz w:val="18"/>
        </w:rPr>
        <w:t xml:space="preserve">Resolve whether launch means 30 </w:t>
      </w:r>
      <w:r>
        <w:rPr>
          <w:b/>
          <w:sz w:val="18"/>
        </w:rPr>
        <w:t>listed</w:t>
      </w:r>
      <w:r>
        <w:rPr>
          <w:sz w:val="18"/>
        </w:rPr>
        <w:t xml:space="preserve"> courses or 30 </w:t>
      </w:r>
      <w:r>
        <w:rPr>
          <w:b/>
          <w:sz w:val="18"/>
        </w:rPr>
        <w:t>fully recorded and deliverable</w:t>
      </w:r>
      <w:r>
        <w:rPr>
          <w:sz w:val="18"/>
        </w:rPr>
        <w:t xml:space="preserve"> courses. The supplied recording constraint supports only 8 in the next 3 months.</w:t>
      </w:r>
    </w:p>
    <w:p>
      <w:pPr>
        <w:pStyle w:val="ListBullet"/>
      </w:pPr>
      <w:r>
        <w:rPr>
          <w:sz w:val="18"/>
        </w:rPr>
        <w:t>Select payment and video providers and confirm their security, availability, and callback contracts.</w:t>
      </w:r>
    </w:p>
    <w:p>
      <w:pPr>
        <w:pStyle w:val="ListBullet"/>
      </w:pPr>
      <w:r>
        <w:t>Confirm the supplied 70% quiz threshold and certificate exceptions; choose accessibility/browser standards and data-retention periods.</w:t>
      </w:r>
    </w:p>
    <w:p>
      <w:pPr>
        <w:pStyle w:val="ListBullet"/>
      </w:pPr>
      <w:r>
        <w:rPr>
          <w:sz w:val="18"/>
        </w:rPr>
        <w:t>Define video resolution/encoding presets, faculty review workflow, identity provider, and notification channel.</w:t>
      </w:r>
    </w:p>
    <w:p>
      <w:pPr>
        <w:pStyle w:val="ListBullet"/>
      </w:pPr>
      <w:r>
        <w:rPr>
          <w:sz w:val="18"/>
        </w:rPr>
        <w:t>Confirm whether a staged 8-course launch is acceptable. This is an explicit decision, not an engineering assumption.</w:t>
      </w:r>
    </w:p>
    <w:p>
      <w:pPr>
        <w:pStyle w:val="Heading2"/>
      </w:pPr>
      <w:r>
        <w:rPr>
          <w:sz w:val="26"/>
        </w:rPr>
        <w:t>7. Requirements traceability matrix</w:t>
      </w:r>
    </w:p>
    <w:tbl>
      <w:tblPr>
        <w:tblStyle w:val="TableGrid"/>
        <w:tblW w:type="auto" w:w="0"/>
        <w:jc w:val="center"/>
        <w:tblLayout w:type="fixed"/>
        <w:tblLook w:firstColumn="1" w:firstRow="1" w:lastColumn="0" w:lastRow="0" w:noHBand="0" w:noVBand="1" w:val="04A0"/>
      </w:tblPr>
      <w:tblGrid>
        <w:gridCol w:w="1832"/>
        <w:gridCol w:w="3596"/>
        <w:gridCol w:w="4738"/>
      </w:tblGrid>
      <w:tr>
        <w:trPr>
          <w:tblHeader w:val="true"/>
        </w:trPr>
        <w:tc>
          <w:tcPr>
            <w:tcW w:type="dxa" w:w="1832"/>
            <w:vAlign w:val="center"/>
            <w:tcMar>
              <w:top w:w="70" w:type="dxa"/>
              <w:start w:w="85" w:type="dxa"/>
              <w:bottom w:w="70" w:type="dxa"/>
              <w:end w:w="85" w:type="dxa"/>
            </w:tcMar>
            <w:shd w:fill="17365D"/>
          </w:tcPr>
          <w:p>
            <w:pPr>
              <w:spacing w:after="0" w:before="0"/>
            </w:pPr>
            <w:r>
              <w:rPr>
                <w:b/>
                <w:color w:val="FFFFFF"/>
                <w:sz w:val="17"/>
              </w:rPr>
              <w:t>Requirement</w:t>
            </w:r>
          </w:p>
        </w:tc>
        <w:tc>
          <w:tcPr>
            <w:tcW w:type="dxa" w:w="3596"/>
            <w:vAlign w:val="center"/>
            <w:tcMar>
              <w:top w:w="70" w:type="dxa"/>
              <w:start w:w="85" w:type="dxa"/>
              <w:bottom w:w="70" w:type="dxa"/>
              <w:end w:w="85" w:type="dxa"/>
            </w:tcMar>
            <w:shd w:fill="17365D"/>
          </w:tcPr>
          <w:p>
            <w:pPr>
              <w:spacing w:after="0" w:before="0"/>
            </w:pPr>
            <w:r>
              <w:rPr>
                <w:b/>
                <w:color w:val="FFFFFF"/>
                <w:sz w:val="17"/>
              </w:rPr>
              <w:t>Planned verification case(s)</w:t>
            </w:r>
          </w:p>
        </w:tc>
        <w:tc>
          <w:tcPr>
            <w:tcW w:type="dxa" w:w="4738"/>
            <w:vAlign w:val="center"/>
            <w:tcMar>
              <w:top w:w="70" w:type="dxa"/>
              <w:start w:w="85" w:type="dxa"/>
              <w:bottom w:w="70" w:type="dxa"/>
              <w:end w:w="85" w:type="dxa"/>
            </w:tcMar>
            <w:shd w:fill="17365D"/>
          </w:tcPr>
          <w:p>
            <w:pPr>
              <w:spacing w:after="0" w:before="0"/>
            </w:pPr>
            <w:r>
              <w:rPr>
                <w:b/>
                <w:color w:val="FFFFFF"/>
                <w:sz w:val="17"/>
              </w:rPr>
              <w:t>Test artefact</w:t>
            </w:r>
          </w:p>
        </w:tc>
      </w:tr>
      <w:tr>
        <w:tc>
          <w:tcPr>
            <w:tcW w:type="dxa" w:w="1832"/>
            <w:vAlign w:val="center"/>
            <w:tcMar>
              <w:top w:w="70" w:type="dxa"/>
              <w:start w:w="85" w:type="dxa"/>
              <w:bottom w:w="70" w:type="dxa"/>
              <w:end w:w="85" w:type="dxa"/>
            </w:tcMar>
          </w:tcPr>
          <w:p>
            <w:pPr>
              <w:spacing w:after="0" w:before="0"/>
            </w:pPr>
            <w:r>
              <w:rPr>
                <w:sz w:val="17"/>
              </w:rPr>
              <w:t>FR-01</w:t>
            </w:r>
          </w:p>
        </w:tc>
        <w:tc>
          <w:tcPr>
            <w:tcW w:type="dxa" w:w="3596"/>
            <w:vAlign w:val="center"/>
            <w:tcMar>
              <w:top w:w="70" w:type="dxa"/>
              <w:start w:w="85" w:type="dxa"/>
              <w:bottom w:w="70" w:type="dxa"/>
              <w:end w:w="85" w:type="dxa"/>
            </w:tcMar>
          </w:tcPr>
          <w:p>
            <w:pPr>
              <w:spacing w:after="0" w:before="0"/>
            </w:pPr>
            <w:r>
              <w:rPr>
                <w:sz w:val="17"/>
              </w:rPr>
              <w:t>TC-FR01</w:t>
            </w:r>
          </w:p>
        </w:tc>
        <w:tc>
          <w:tcPr>
            <w:tcW w:type="dxa" w:w="4738"/>
            <w:vAlign w:val="center"/>
            <w:tcMar>
              <w:top w:w="70" w:type="dxa"/>
              <w:start w:w="85" w:type="dxa"/>
              <w:bottom w:w="70" w:type="dxa"/>
              <w:end w:w="85" w:type="dxa"/>
            </w:tcMar>
          </w:tcPr>
          <w:p>
            <w:pPr>
              <w:spacing w:after="0" w:before="0"/>
            </w:pPr>
            <w:r>
              <w:rPr>
                <w:sz w:val="17"/>
              </w:rPr>
              <w:t>Test Plan §4</w:t>
            </w:r>
          </w:p>
        </w:tc>
      </w:tr>
      <w:tr>
        <w:tc>
          <w:tcPr>
            <w:tcW w:type="dxa" w:w="1832"/>
            <w:vAlign w:val="center"/>
            <w:tcMar>
              <w:top w:w="70" w:type="dxa"/>
              <w:start w:w="85" w:type="dxa"/>
              <w:bottom w:w="70" w:type="dxa"/>
              <w:end w:w="85" w:type="dxa"/>
            </w:tcMar>
            <w:shd w:fill="F4F7FA"/>
          </w:tcPr>
          <w:p>
            <w:pPr>
              <w:spacing w:after="0" w:before="0"/>
            </w:pPr>
            <w:r>
              <w:rPr>
                <w:sz w:val="17"/>
              </w:rPr>
              <w:t>FR-02</w:t>
            </w:r>
          </w:p>
        </w:tc>
        <w:tc>
          <w:tcPr>
            <w:tcW w:type="dxa" w:w="3596"/>
            <w:vAlign w:val="center"/>
            <w:tcMar>
              <w:top w:w="70" w:type="dxa"/>
              <w:start w:w="85" w:type="dxa"/>
              <w:bottom w:w="70" w:type="dxa"/>
              <w:end w:w="85" w:type="dxa"/>
            </w:tcMar>
            <w:shd w:fill="F4F7FA"/>
          </w:tcPr>
          <w:p>
            <w:pPr>
              <w:spacing w:after="0" w:before="0"/>
            </w:pPr>
            <w:r>
              <w:rPr>
                <w:sz w:val="17"/>
              </w:rPr>
              <w:t>TC-FR02</w:t>
            </w:r>
          </w:p>
        </w:tc>
        <w:tc>
          <w:tcPr>
            <w:tcW w:type="dxa" w:w="4738"/>
            <w:vAlign w:val="center"/>
            <w:tcMar>
              <w:top w:w="70" w:type="dxa"/>
              <w:start w:w="85" w:type="dxa"/>
              <w:bottom w:w="70" w:type="dxa"/>
              <w:end w:w="85" w:type="dxa"/>
            </w:tcMar>
            <w:shd w:fill="F4F7FA"/>
          </w:tcPr>
          <w:p>
            <w:pPr>
              <w:spacing w:after="0" w:before="0"/>
            </w:pPr>
            <w:r>
              <w:rPr>
                <w:sz w:val="17"/>
              </w:rPr>
              <w:t>Test Plan §4</w:t>
            </w:r>
          </w:p>
        </w:tc>
      </w:tr>
      <w:tr>
        <w:tc>
          <w:tcPr>
            <w:tcW w:type="dxa" w:w="1832"/>
            <w:vAlign w:val="center"/>
            <w:tcMar>
              <w:top w:w="70" w:type="dxa"/>
              <w:start w:w="85" w:type="dxa"/>
              <w:bottom w:w="70" w:type="dxa"/>
              <w:end w:w="85" w:type="dxa"/>
            </w:tcMar>
          </w:tcPr>
          <w:p>
            <w:pPr>
              <w:spacing w:after="0" w:before="0"/>
            </w:pPr>
            <w:r>
              <w:rPr>
                <w:sz w:val="17"/>
              </w:rPr>
              <w:t>FR-03</w:t>
            </w:r>
          </w:p>
        </w:tc>
        <w:tc>
          <w:tcPr>
            <w:tcW w:type="dxa" w:w="3596"/>
            <w:vAlign w:val="center"/>
            <w:tcMar>
              <w:top w:w="70" w:type="dxa"/>
              <w:start w:w="85" w:type="dxa"/>
              <w:bottom w:w="70" w:type="dxa"/>
              <w:end w:w="85" w:type="dxa"/>
            </w:tcMar>
          </w:tcPr>
          <w:p>
            <w:pPr>
              <w:spacing w:after="0" w:before="0"/>
            </w:pPr>
            <w:r>
              <w:rPr>
                <w:sz w:val="17"/>
              </w:rPr>
              <w:t>TC-FR03</w:t>
            </w:r>
          </w:p>
        </w:tc>
        <w:tc>
          <w:tcPr>
            <w:tcW w:type="dxa" w:w="4738"/>
            <w:vAlign w:val="center"/>
            <w:tcMar>
              <w:top w:w="70" w:type="dxa"/>
              <w:start w:w="85" w:type="dxa"/>
              <w:bottom w:w="70" w:type="dxa"/>
              <w:end w:w="85" w:type="dxa"/>
            </w:tcMar>
          </w:tcPr>
          <w:p>
            <w:pPr>
              <w:spacing w:after="0" w:before="0"/>
            </w:pPr>
            <w:r>
              <w:rPr>
                <w:sz w:val="17"/>
              </w:rPr>
              <w:t>Test Plan §4; payment callback cases</w:t>
            </w:r>
          </w:p>
        </w:tc>
      </w:tr>
      <w:tr>
        <w:tc>
          <w:tcPr>
            <w:tcW w:type="dxa" w:w="1832"/>
            <w:vAlign w:val="center"/>
            <w:tcMar>
              <w:top w:w="70" w:type="dxa"/>
              <w:start w:w="85" w:type="dxa"/>
              <w:bottom w:w="70" w:type="dxa"/>
              <w:end w:w="85" w:type="dxa"/>
            </w:tcMar>
            <w:shd w:fill="F4F7FA"/>
          </w:tcPr>
          <w:p>
            <w:pPr>
              <w:spacing w:after="0" w:before="0"/>
            </w:pPr>
            <w:r>
              <w:rPr>
                <w:sz w:val="17"/>
              </w:rPr>
              <w:t>FR-04</w:t>
            </w:r>
          </w:p>
        </w:tc>
        <w:tc>
          <w:tcPr>
            <w:tcW w:type="dxa" w:w="3596"/>
            <w:vAlign w:val="center"/>
            <w:tcMar>
              <w:top w:w="70" w:type="dxa"/>
              <w:start w:w="85" w:type="dxa"/>
              <w:bottom w:w="70" w:type="dxa"/>
              <w:end w:w="85" w:type="dxa"/>
            </w:tcMar>
            <w:shd w:fill="F4F7FA"/>
          </w:tcPr>
          <w:p>
            <w:pPr>
              <w:spacing w:after="0" w:before="0"/>
            </w:pPr>
            <w:r>
              <w:rPr>
                <w:sz w:val="17"/>
              </w:rPr>
              <w:t>TC-FR04</w:t>
            </w:r>
          </w:p>
        </w:tc>
        <w:tc>
          <w:tcPr>
            <w:tcW w:type="dxa" w:w="4738"/>
            <w:vAlign w:val="center"/>
            <w:tcMar>
              <w:top w:w="70" w:type="dxa"/>
              <w:start w:w="85" w:type="dxa"/>
              <w:bottom w:w="70" w:type="dxa"/>
              <w:end w:w="85" w:type="dxa"/>
            </w:tcMar>
            <w:shd w:fill="F4F7FA"/>
          </w:tcPr>
          <w:p>
            <w:pPr>
              <w:spacing w:after="0" w:before="0"/>
            </w:pPr>
            <w:r>
              <w:rPr>
                <w:sz w:val="17"/>
              </w:rPr>
              <w:t>Test Plan §4; authorisation cases</w:t>
            </w:r>
          </w:p>
        </w:tc>
      </w:tr>
      <w:tr>
        <w:tc>
          <w:tcPr>
            <w:tcW w:type="dxa" w:w="1832"/>
            <w:vAlign w:val="center"/>
            <w:tcMar>
              <w:top w:w="70" w:type="dxa"/>
              <w:start w:w="85" w:type="dxa"/>
              <w:bottom w:w="70" w:type="dxa"/>
              <w:end w:w="85" w:type="dxa"/>
            </w:tcMar>
          </w:tcPr>
          <w:p>
            <w:pPr>
              <w:spacing w:after="0" w:before="0"/>
            </w:pPr>
            <w:r>
              <w:rPr>
                <w:sz w:val="17"/>
              </w:rPr>
              <w:t>FR-05</w:t>
            </w:r>
          </w:p>
        </w:tc>
        <w:tc>
          <w:tcPr>
            <w:tcW w:type="dxa" w:w="3596"/>
            <w:vAlign w:val="center"/>
            <w:tcMar>
              <w:top w:w="70" w:type="dxa"/>
              <w:start w:w="85" w:type="dxa"/>
              <w:bottom w:w="70" w:type="dxa"/>
              <w:end w:w="85" w:type="dxa"/>
            </w:tcMar>
          </w:tcPr>
          <w:p>
            <w:pPr>
              <w:spacing w:after="0" w:before="0"/>
            </w:pPr>
            <w:r>
              <w:rPr>
                <w:sz w:val="17"/>
              </w:rPr>
              <w:t>TC-FR05</w:t>
            </w:r>
          </w:p>
        </w:tc>
        <w:tc>
          <w:tcPr>
            <w:tcW w:type="dxa" w:w="4738"/>
            <w:vAlign w:val="center"/>
            <w:tcMar>
              <w:top w:w="70" w:type="dxa"/>
              <w:start w:w="85" w:type="dxa"/>
              <w:bottom w:w="70" w:type="dxa"/>
              <w:end w:w="85" w:type="dxa"/>
            </w:tcMar>
          </w:tcPr>
          <w:p>
            <w:pPr>
              <w:spacing w:after="0" w:before="0"/>
            </w:pPr>
            <w:r>
              <w:rPr>
                <w:sz w:val="17"/>
              </w:rPr>
              <w:t>Test Plan §4; video availability probes</w:t>
            </w:r>
          </w:p>
        </w:tc>
      </w:tr>
      <w:tr>
        <w:tc>
          <w:tcPr>
            <w:tcW w:type="dxa" w:w="1832"/>
            <w:vAlign w:val="center"/>
            <w:tcMar>
              <w:top w:w="70" w:type="dxa"/>
              <w:start w:w="85" w:type="dxa"/>
              <w:bottom w:w="70" w:type="dxa"/>
              <w:end w:w="85" w:type="dxa"/>
            </w:tcMar>
            <w:shd w:fill="F4F7FA"/>
          </w:tcPr>
          <w:p>
            <w:pPr>
              <w:spacing w:after="0" w:before="0"/>
            </w:pPr>
            <w:r>
              <w:rPr>
                <w:sz w:val="17"/>
              </w:rPr>
              <w:t>FR-06</w:t>
            </w:r>
          </w:p>
        </w:tc>
        <w:tc>
          <w:tcPr>
            <w:tcW w:type="dxa" w:w="3596"/>
            <w:vAlign w:val="center"/>
            <w:tcMar>
              <w:top w:w="70" w:type="dxa"/>
              <w:start w:w="85" w:type="dxa"/>
              <w:bottom w:w="70" w:type="dxa"/>
              <w:end w:w="85" w:type="dxa"/>
            </w:tcMar>
            <w:shd w:fill="F4F7FA"/>
          </w:tcPr>
          <w:p>
            <w:pPr>
              <w:spacing w:after="0" w:before="0"/>
            </w:pPr>
            <w:r>
              <w:rPr>
                <w:sz w:val="17"/>
              </w:rPr>
              <w:t>TC-FR06; TC-BVA-C01–C06</w:t>
            </w:r>
          </w:p>
        </w:tc>
        <w:tc>
          <w:tcPr>
            <w:tcW w:type="dxa" w:w="4738"/>
            <w:vAlign w:val="center"/>
            <w:tcMar>
              <w:top w:w="70" w:type="dxa"/>
              <w:start w:w="85" w:type="dxa"/>
              <w:bottom w:w="70" w:type="dxa"/>
              <w:end w:w="85" w:type="dxa"/>
            </w:tcMar>
            <w:shd w:fill="F4F7FA"/>
          </w:tcPr>
          <w:p>
            <w:pPr>
              <w:spacing w:after="0" w:before="0"/>
            </w:pPr>
            <w:r>
              <w:rPr>
                <w:sz w:val="17"/>
              </w:rPr>
              <w:t>Test Plan §§4–5</w:t>
            </w:r>
          </w:p>
        </w:tc>
      </w:tr>
      <w:tr>
        <w:tc>
          <w:tcPr>
            <w:tcW w:type="dxa" w:w="1832"/>
            <w:vAlign w:val="center"/>
            <w:tcMar>
              <w:top w:w="70" w:type="dxa"/>
              <w:start w:w="85" w:type="dxa"/>
              <w:bottom w:w="70" w:type="dxa"/>
              <w:end w:w="85" w:type="dxa"/>
            </w:tcMar>
          </w:tcPr>
          <w:p>
            <w:pPr>
              <w:spacing w:after="0" w:before="0"/>
            </w:pPr>
            <w:r>
              <w:rPr>
                <w:sz w:val="17"/>
              </w:rPr>
              <w:t>FR-07</w:t>
            </w:r>
          </w:p>
        </w:tc>
        <w:tc>
          <w:tcPr>
            <w:tcW w:type="dxa" w:w="3596"/>
            <w:vAlign w:val="center"/>
            <w:tcMar>
              <w:top w:w="70" w:type="dxa"/>
              <w:start w:w="85" w:type="dxa"/>
              <w:bottom w:w="70" w:type="dxa"/>
              <w:end w:w="85" w:type="dxa"/>
            </w:tcMar>
          </w:tcPr>
          <w:p>
            <w:pPr>
              <w:spacing w:after="0" w:before="0"/>
            </w:pPr>
            <w:r>
              <w:rPr>
                <w:sz w:val="17"/>
              </w:rPr>
              <w:t>TC-FR07; TC-BVA-Q01–Q06</w:t>
            </w:r>
          </w:p>
        </w:tc>
        <w:tc>
          <w:tcPr>
            <w:tcW w:type="dxa" w:w="4738"/>
            <w:vAlign w:val="center"/>
            <w:tcMar>
              <w:top w:w="70" w:type="dxa"/>
              <w:start w:w="85" w:type="dxa"/>
              <w:bottom w:w="70" w:type="dxa"/>
              <w:end w:w="85" w:type="dxa"/>
            </w:tcMar>
          </w:tcPr>
          <w:p>
            <w:pPr>
              <w:spacing w:after="0" w:before="0"/>
            </w:pPr>
            <w:r>
              <w:rPr>
                <w:sz w:val="17"/>
              </w:rPr>
              <w:t>Test Plan §§4–5</w:t>
            </w:r>
          </w:p>
        </w:tc>
      </w:tr>
      <w:tr>
        <w:tc>
          <w:tcPr>
            <w:tcW w:type="dxa" w:w="1832"/>
            <w:vAlign w:val="center"/>
            <w:tcMar>
              <w:top w:w="70" w:type="dxa"/>
              <w:start w:w="85" w:type="dxa"/>
              <w:bottom w:w="70" w:type="dxa"/>
              <w:end w:w="85" w:type="dxa"/>
            </w:tcMar>
            <w:shd w:fill="F4F7FA"/>
          </w:tcPr>
          <w:p>
            <w:pPr>
              <w:spacing w:after="0" w:before="0"/>
            </w:pPr>
            <w:r>
              <w:rPr>
                <w:sz w:val="17"/>
              </w:rPr>
              <w:t>FR-08</w:t>
            </w:r>
          </w:p>
        </w:tc>
        <w:tc>
          <w:tcPr>
            <w:tcW w:type="dxa" w:w="3596"/>
            <w:vAlign w:val="center"/>
            <w:tcMar>
              <w:top w:w="70" w:type="dxa"/>
              <w:start w:w="85" w:type="dxa"/>
              <w:bottom w:w="70" w:type="dxa"/>
              <w:end w:w="85" w:type="dxa"/>
            </w:tcMar>
            <w:shd w:fill="F4F7FA"/>
          </w:tcPr>
          <w:p>
            <w:pPr>
              <w:spacing w:after="0" w:before="0"/>
            </w:pPr>
            <w:r>
              <w:rPr>
                <w:sz w:val="17"/>
              </w:rPr>
              <w:t>TC-FR08; TC-DEC-01–08</w:t>
            </w:r>
          </w:p>
        </w:tc>
        <w:tc>
          <w:tcPr>
            <w:tcW w:type="dxa" w:w="4738"/>
            <w:vAlign w:val="center"/>
            <w:tcMar>
              <w:top w:w="70" w:type="dxa"/>
              <w:start w:w="85" w:type="dxa"/>
              <w:bottom w:w="70" w:type="dxa"/>
              <w:end w:w="85" w:type="dxa"/>
            </w:tcMar>
            <w:shd w:fill="F4F7FA"/>
          </w:tcPr>
          <w:p>
            <w:pPr>
              <w:spacing w:after="0" w:before="0"/>
            </w:pPr>
            <w:r>
              <w:rPr>
                <w:sz w:val="17"/>
              </w:rPr>
              <w:t>Test Plan §§4, 6</w:t>
            </w:r>
          </w:p>
        </w:tc>
      </w:tr>
      <w:tr>
        <w:tc>
          <w:tcPr>
            <w:tcW w:type="dxa" w:w="1832"/>
            <w:vAlign w:val="center"/>
            <w:tcMar>
              <w:top w:w="70" w:type="dxa"/>
              <w:start w:w="85" w:type="dxa"/>
              <w:bottom w:w="70" w:type="dxa"/>
              <w:end w:w="85" w:type="dxa"/>
            </w:tcMar>
          </w:tcPr>
          <w:p>
            <w:pPr>
              <w:spacing w:after="0" w:before="0"/>
            </w:pPr>
            <w:r>
              <w:rPr>
                <w:sz w:val="17"/>
              </w:rPr>
              <w:t>FR-09</w:t>
            </w:r>
          </w:p>
        </w:tc>
        <w:tc>
          <w:tcPr>
            <w:tcW w:type="dxa" w:w="3596"/>
            <w:vAlign w:val="center"/>
            <w:tcMar>
              <w:top w:w="70" w:type="dxa"/>
              <w:start w:w="85" w:type="dxa"/>
              <w:bottom w:w="70" w:type="dxa"/>
              <w:end w:w="85" w:type="dxa"/>
            </w:tcMar>
          </w:tcPr>
          <w:p>
            <w:pPr>
              <w:spacing w:after="0" w:before="0"/>
            </w:pPr>
            <w:r>
              <w:rPr>
                <w:sz w:val="17"/>
              </w:rPr>
              <w:t>TC-FR09; TC-DEC-01–08</w:t>
            </w:r>
          </w:p>
        </w:tc>
        <w:tc>
          <w:tcPr>
            <w:tcW w:type="dxa" w:w="4738"/>
            <w:vAlign w:val="center"/>
            <w:tcMar>
              <w:top w:w="70" w:type="dxa"/>
              <w:start w:w="85" w:type="dxa"/>
              <w:bottom w:w="70" w:type="dxa"/>
              <w:end w:w="85" w:type="dxa"/>
            </w:tcMar>
          </w:tcPr>
          <w:p>
            <w:pPr>
              <w:spacing w:after="0" w:before="0"/>
            </w:pPr>
            <w:r>
              <w:rPr>
                <w:sz w:val="17"/>
              </w:rPr>
              <w:t>Test Plan §§4, 6</w:t>
            </w:r>
          </w:p>
        </w:tc>
      </w:tr>
      <w:tr>
        <w:tc>
          <w:tcPr>
            <w:tcW w:type="dxa" w:w="1832"/>
            <w:vAlign w:val="center"/>
            <w:tcMar>
              <w:top w:w="70" w:type="dxa"/>
              <w:start w:w="85" w:type="dxa"/>
              <w:bottom w:w="70" w:type="dxa"/>
              <w:end w:w="85" w:type="dxa"/>
            </w:tcMar>
            <w:shd w:fill="F4F7FA"/>
          </w:tcPr>
          <w:p>
            <w:pPr>
              <w:spacing w:after="0" w:before="0"/>
            </w:pPr>
            <w:r>
              <w:rPr>
                <w:sz w:val="17"/>
              </w:rPr>
              <w:t>FR-10</w:t>
            </w:r>
          </w:p>
        </w:tc>
        <w:tc>
          <w:tcPr>
            <w:tcW w:type="dxa" w:w="3596"/>
            <w:vAlign w:val="center"/>
            <w:tcMar>
              <w:top w:w="70" w:type="dxa"/>
              <w:start w:w="85" w:type="dxa"/>
              <w:bottom w:w="70" w:type="dxa"/>
              <w:end w:w="85" w:type="dxa"/>
            </w:tcMar>
            <w:shd w:fill="F4F7FA"/>
          </w:tcPr>
          <w:p>
            <w:pPr>
              <w:spacing w:after="0" w:before="0"/>
            </w:pPr>
            <w:r>
              <w:rPr>
                <w:sz w:val="17"/>
              </w:rPr>
              <w:t>TC-FR10</w:t>
            </w:r>
          </w:p>
        </w:tc>
        <w:tc>
          <w:tcPr>
            <w:tcW w:type="dxa" w:w="4738"/>
            <w:vAlign w:val="center"/>
            <w:tcMar>
              <w:top w:w="70" w:type="dxa"/>
              <w:start w:w="85" w:type="dxa"/>
              <w:bottom w:w="70" w:type="dxa"/>
              <w:end w:w="85" w:type="dxa"/>
            </w:tcMar>
            <w:shd w:fill="F4F7FA"/>
          </w:tcPr>
          <w:p>
            <w:pPr>
              <w:spacing w:after="0" w:before="0"/>
            </w:pPr>
            <w:r>
              <w:rPr>
                <w:sz w:val="17"/>
              </w:rPr>
              <w:t>Test Plan §4</w:t>
            </w:r>
          </w:p>
        </w:tc>
      </w:tr>
      <w:tr>
        <w:tc>
          <w:tcPr>
            <w:tcW w:type="dxa" w:w="1832"/>
            <w:vAlign w:val="center"/>
            <w:tcMar>
              <w:top w:w="70" w:type="dxa"/>
              <w:start w:w="85" w:type="dxa"/>
              <w:bottom w:w="70" w:type="dxa"/>
              <w:end w:w="85" w:type="dxa"/>
            </w:tcMar>
          </w:tcPr>
          <w:p>
            <w:pPr>
              <w:spacing w:after="0" w:before="0"/>
            </w:pPr>
            <w:r>
              <w:rPr>
                <w:sz w:val="17"/>
              </w:rPr>
              <w:t>FR-11</w:t>
            </w:r>
          </w:p>
        </w:tc>
        <w:tc>
          <w:tcPr>
            <w:tcW w:type="dxa" w:w="3596"/>
            <w:vAlign w:val="center"/>
            <w:tcMar>
              <w:top w:w="70" w:type="dxa"/>
              <w:start w:w="85" w:type="dxa"/>
              <w:bottom w:w="70" w:type="dxa"/>
              <w:end w:w="85" w:type="dxa"/>
            </w:tcMar>
          </w:tcPr>
          <w:p>
            <w:pPr>
              <w:spacing w:after="0" w:before="0"/>
            </w:pPr>
            <w:r>
              <w:rPr>
                <w:sz w:val="17"/>
              </w:rPr>
              <w:t>TC-FR11</w:t>
            </w:r>
          </w:p>
        </w:tc>
        <w:tc>
          <w:tcPr>
            <w:tcW w:type="dxa" w:w="4738"/>
            <w:vAlign w:val="center"/>
            <w:tcMar>
              <w:top w:w="70" w:type="dxa"/>
              <w:start w:w="85" w:type="dxa"/>
              <w:bottom w:w="70" w:type="dxa"/>
              <w:end w:w="85" w:type="dxa"/>
            </w:tcMar>
          </w:tcPr>
          <w:p>
            <w:pPr>
              <w:spacing w:after="0" w:before="0"/>
            </w:pPr>
            <w:r>
              <w:rPr>
                <w:sz w:val="17"/>
              </w:rPr>
              <w:t>Test Plan §4</w:t>
            </w:r>
          </w:p>
        </w:tc>
      </w:tr>
      <w:tr>
        <w:tc>
          <w:tcPr>
            <w:tcW w:type="dxa" w:w="1832"/>
            <w:vAlign w:val="center"/>
            <w:tcMar>
              <w:top w:w="70" w:type="dxa"/>
              <w:start w:w="85" w:type="dxa"/>
              <w:bottom w:w="70" w:type="dxa"/>
              <w:end w:w="85" w:type="dxa"/>
            </w:tcMar>
            <w:shd w:fill="F4F7FA"/>
          </w:tcPr>
          <w:p>
            <w:pPr>
              <w:spacing w:after="0" w:before="0"/>
            </w:pPr>
            <w:r>
              <w:rPr>
                <w:sz w:val="17"/>
              </w:rPr>
              <w:t>FR-12</w:t>
            </w:r>
          </w:p>
        </w:tc>
        <w:tc>
          <w:tcPr>
            <w:tcW w:type="dxa" w:w="3596"/>
            <w:vAlign w:val="center"/>
            <w:tcMar>
              <w:top w:w="70" w:type="dxa"/>
              <w:start w:w="85" w:type="dxa"/>
              <w:bottom w:w="70" w:type="dxa"/>
              <w:end w:w="85" w:type="dxa"/>
            </w:tcMar>
            <w:shd w:fill="F4F7FA"/>
          </w:tcPr>
          <w:p>
            <w:pPr>
              <w:spacing w:after="0" w:before="0"/>
            </w:pPr>
            <w:r>
              <w:rPr>
                <w:sz w:val="17"/>
              </w:rPr>
              <w:t>TC-FR12</w:t>
            </w:r>
          </w:p>
        </w:tc>
        <w:tc>
          <w:tcPr>
            <w:tcW w:type="dxa" w:w="4738"/>
            <w:vAlign w:val="center"/>
            <w:tcMar>
              <w:top w:w="70" w:type="dxa"/>
              <w:start w:w="85" w:type="dxa"/>
              <w:bottom w:w="70" w:type="dxa"/>
              <w:end w:w="85" w:type="dxa"/>
            </w:tcMar>
            <w:shd w:fill="F4F7FA"/>
          </w:tcPr>
          <w:p>
            <w:pPr>
              <w:spacing w:after="0" w:before="0"/>
            </w:pPr>
            <w:r>
              <w:rPr>
                <w:sz w:val="17"/>
              </w:rPr>
              <w:t>Test Plan §4</w:t>
            </w:r>
          </w:p>
        </w:tc>
      </w:tr>
    </w:tbl>
    <w:p>
      <w:pPr>
        <w:spacing w:after="20"/>
      </w:pPr>
    </w:p>
    <w:p>
      <w:pPr>
        <w:pStyle w:val="Heading2"/>
      </w:pPr>
      <w:r>
        <w:rPr>
          <w:sz w:val="26"/>
        </w:rPr>
        <w:t>8. Approval and change control</w:t>
      </w:r>
    </w:p>
    <w:p>
      <w:r>
        <w:rPr>
          <w:sz w:val="19"/>
        </w:rPr>
        <w:t>The Director owns scope and launch sequencing; faculty own their content commitments; IT owns platform/security acceptance; testing owns evidence. Any change to a requirement, target, or certificate rule should record the requirement ID, reason, approver, impact on schedule, and affected tests. Proposed targets become baselined only after stakeholder approval.</w:t>
      </w:r>
    </w:p>
    <w:p>
      <w:pPr>
        <w:pStyle w:val="Heading2"/>
      </w:pPr>
      <w:r>
        <w:rPr>
          <w:sz w:val="26"/>
        </w:rPr>
        <w:t>Appendix A — Requirements elicitation record</w:t>
      </w:r>
    </w:p>
    <w:p>
      <w:r>
        <w:t>The case requests document analysis and a stakeholder workshop. Only the supplied brief was reviewed; no workshop has occurred. Invite the Director, learner representatives, faculty, editors, and IT/security. Use the session to resolve the 30-course launch, learner journey, content handoffs, certificate rules, NFR targets, priorities, and owners, then record the decisions in the next SRS revision.</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CourseCraft • Academic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COURSECRAFT  |  SOFTWARE ENGINEERING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