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761" w:val="clear"/>
            <w:tcMar>
              <w:top w:type="dxa" w:w="220"/>
              <w:left w:type="dxa" w:w="280"/>
              <w:bottom w:type="dxa" w:w="200"/>
              <w:right w:type="dxa" w:w="280"/>
            </w:tcMar>
          </w:tcPr>
          <w:p>
            <w:pPr>
              <w:spacing w:after="60" w:before="0"/>
              <w:jc w:val="center"/>
            </w:pPr>
            <w:r>
              <w:rPr>
                <w:rFonts w:ascii="Arial" w:cs="Arial" w:eastAsia="Arial" w:hAnsi="Arial"/>
                <w:b/>
                <w:bCs/>
                <w:color w:val="FFFFFF"/>
                <w:sz w:val="56"/>
                <w:szCs w:val="56"/>
              </w:rPr>
              <w:t xml:space="preserve">SITEINSIGHT</w:t>
            </w:r>
          </w:p>
          <w:p>
            <w:pPr>
              <w:spacing w:after="80" w:before="0"/>
              <w:jc w:val="center"/>
            </w:pPr>
            <w:r>
              <w:rPr>
                <w:rFonts w:ascii="Arial" w:cs="Arial" w:eastAsia="Arial" w:hAnsi="Arial"/>
                <w:i/>
                <w:iCs/>
                <w:color w:val="A8C8F0"/>
                <w:sz w:val="21"/>
                <w:szCs w:val="21"/>
              </w:rPr>
              <w:t xml:space="preserve">AI-Powered WPR Intelligence for Construction Projects</w:t>
            </w:r>
          </w:p>
          <w:p>
            <w:pPr>
              <w:spacing w:after="0" w:before="0"/>
              <w:jc w:val="center"/>
            </w:pPr>
            <w:r>
              <w:rPr>
                <w:rFonts w:ascii="Arial" w:cs="Arial" w:eastAsia="Arial" w:hAnsi="Arial"/>
                <w:color w:val="C8DCF0"/>
                <w:sz w:val="16"/>
                <w:szCs w:val="16"/>
              </w:rPr>
              <w:t xml:space="preserve">IIT Patna · Generative AI Capstone Sprint 2026  |  Shweta Swapnil Patil  |  Solo</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40"/>
        <w:gridCol w:w="240"/>
        <w:gridCol w:w="4446"/>
      </w:tblGrid>
      <w:tr>
        <w:tc>
          <w:tcPr>
            <w:tcW w:type="dxa" w:w="43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60" w:before="180"/>
            </w:pPr>
            <w:r>
              <w:rPr>
                <w:rFonts w:ascii="Arial" w:cs="Arial" w:eastAsia="Arial" w:hAnsi="Arial"/>
                <w:b/>
                <w:bCs/>
                <w:color w:val="0070C0"/>
                <w:sz w:val="19"/>
                <w:szCs w:val="19"/>
              </w:rPr>
              <w:t xml:space="preserve">THE PROBLEM</w:t>
            </w:r>
          </w:p>
          <w:p>
            <w:pPr>
              <w:pBdr>
                <w:bottom w:val="single" w:color="0070C0" w:sz="6" w:space="1"/>
              </w:pBdr>
              <w:spacing w:after="100" w:before="0"/>
            </w:pPr>
            <w:r>
              <w:rPr>
                <w:sz w:val="2"/>
                <w:szCs w:val="2"/>
              </w:rPr>
              <w:t xml:space="preserve"/>
            </w:r>
          </w:p>
          <w:p>
            <w:pPr>
              <w:spacing w:after="60" w:before="60"/>
            </w:pPr>
            <w:r>
              <w:rPr>
                <w:rFonts w:ascii="Arial" w:cs="Arial" w:eastAsia="Arial" w:hAnsi="Arial"/>
                <w:b w:val="false"/>
                <w:bCs w:val="false"/>
                <w:i w:val="false"/>
                <w:iCs w:val="false"/>
                <w:color w:val="1A1A1A"/>
                <w:sz w:val="19"/>
                <w:szCs w:val="19"/>
              </w:rPr>
              <w:t xml:space="preserve">Construction projects run on Weekly Progress Reports. Every Monday, a planning engineer spends hours consolidating data, calculating variances, and writing the same report — while the project manager reads numbers they already knew from the last site walk.</w:t>
            </w:r>
          </w:p>
          <w:p>
            <w:pPr>
              <w:spacing w:after="60" w:before="60"/>
            </w:pPr>
            <w:r>
              <w:rPr>
                <w:rFonts w:ascii="Arial" w:cs="Arial" w:eastAsia="Arial" w:hAnsi="Arial"/>
                <w:b w:val="false"/>
                <w:bCs w:val="false"/>
                <w:i w:val="false"/>
                <w:iCs w:val="false"/>
                <w:color w:val="1A1A1A"/>
                <w:sz w:val="19"/>
                <w:szCs w:val="19"/>
              </w:rPr>
              <w:t xml:space="preserve">The data is there. The problem is what happens to it.</w:t>
            </w:r>
          </w:p>
          <w:p>
            <w:pPr>
              <w:spacing w:after="80" w:before="60"/>
            </w:pPr>
            <w:r>
              <w:rPr>
                <w:rFonts w:ascii="Arial" w:cs="Arial" w:eastAsia="Arial" w:hAnsi="Arial"/>
                <w:b w:val="false"/>
                <w:bCs w:val="false"/>
                <w:i w:val="false"/>
                <w:iCs w:val="false"/>
                <w:color w:val="1A1A1A"/>
                <w:sz w:val="19"/>
                <w:szCs w:val="19"/>
              </w:rPr>
              <w:t xml:space="preserve">Delays that are visible in Week 9 are still being discussed in Week 12. Recovery plans are built manually in someone's head. The same contractor excuse appears three weeks in a row with no escalation. Risk is identified late — after it has already become a problem.</w:t>
            </w:r>
          </w:p>
          <w:p>
            <w:pPr>
              <w:spacing w:after="60" w:before="180"/>
            </w:pPr>
            <w:r>
              <w:rPr>
                <w:rFonts w:ascii="Arial" w:cs="Arial" w:eastAsia="Arial" w:hAnsi="Arial"/>
                <w:b/>
                <w:bCs/>
                <w:color w:val="0070C0"/>
                <w:sz w:val="19"/>
                <w:szCs w:val="19"/>
              </w:rPr>
              <w:t xml:space="preserve">WHAT I AM BUILDING</w:t>
            </w:r>
          </w:p>
          <w:p>
            <w:pPr>
              <w:pBdr>
                <w:bottom w:val="single" w:color="0070C0" w:sz="6" w:space="1"/>
              </w:pBdr>
              <w:spacing w:after="100" w:before="0"/>
            </w:pPr>
            <w:r>
              <w:rPr>
                <w:sz w:val="2"/>
                <w:szCs w:val="2"/>
              </w:rPr>
              <w:t xml:space="preserve"/>
            </w:r>
          </w:p>
          <w:p>
            <w:pPr>
              <w:spacing w:after="60" w:before="60"/>
            </w:pPr>
            <w:r>
              <w:rPr>
                <w:rFonts w:ascii="Arial" w:cs="Arial" w:eastAsia="Arial" w:hAnsi="Arial"/>
                <w:b w:val="false"/>
                <w:bCs w:val="false"/>
                <w:i w:val="false"/>
                <w:iCs w:val="false"/>
                <w:color w:val="1A1A1A"/>
                <w:sz w:val="19"/>
                <w:szCs w:val="19"/>
              </w:rPr>
              <w:t xml:space="preserve">SiteInsight is a small tool that sits on top of the existing WPR workflow. The engineer uploads the same Excel file they already produce. SiteInsight reads it, detects patterns across weeks, and generates outputs the team can act on immediately — without adding work to anyone's Monday.</w:t>
            </w:r>
          </w:p>
          <w:p>
            <w:pPr>
              <w:spacing w:after="60" w:before="60"/>
            </w:pPr>
            <w:r>
              <w:rPr>
                <w:rFonts w:ascii="Arial" w:cs="Arial" w:eastAsia="Arial" w:hAnsi="Arial"/>
                <w:b w:val="false"/>
                <w:bCs w:val="false"/>
                <w:i/>
                <w:iCs/>
                <w:color w:val="555555"/>
                <w:sz w:val="19"/>
                <w:szCs w:val="19"/>
              </w:rPr>
              <w:t xml:space="preserve">It does not replace the WPR. It makes the information inside it usable.</w:t>
            </w:r>
          </w:p>
          <w:p>
            <w:pPr>
              <w:spacing w:after="0" w:before="160"/>
            </w:pPr>
            <w:r>
              <w:t xml:space="preserve"/>
            </w:r>
          </w:p>
          <w:p>
            <w:pPr>
              <w:spacing w:after="60" w:before="180"/>
            </w:pPr>
            <w:r>
              <w:rPr>
                <w:rFonts w:ascii="Arial" w:cs="Arial" w:eastAsia="Arial" w:hAnsi="Arial"/>
                <w:b/>
                <w:bCs/>
                <w:color w:val="0070C0"/>
                <w:sz w:val="19"/>
                <w:szCs w:val="19"/>
              </w:rPr>
              <w:t xml:space="preserve">WHO IT IS FOR</w:t>
            </w:r>
          </w:p>
          <w:p>
            <w:pPr>
              <w:pBdr>
                <w:bottom w:val="single" w:color="0070C0" w:sz="6" w:space="1"/>
              </w:pBdr>
              <w:spacing w:after="100" w:before="0"/>
            </w:pPr>
            <w:r>
              <w:rPr>
                <w:sz w:val="2"/>
                <w:szCs w:val="2"/>
              </w:rPr>
              <w:t xml:space="preserve"/>
            </w:r>
          </w:p>
          <w:p>
            <w:pPr>
              <w:spacing w:after="60" w:before="60"/>
            </w:pPr>
            <w:r>
              <w:rPr>
                <w:rFonts w:ascii="Arial" w:cs="Arial" w:eastAsia="Arial" w:hAnsi="Arial"/>
                <w:b w:val="false"/>
                <w:bCs w:val="false"/>
                <w:i w:val="false"/>
                <w:iCs w:val="false"/>
                <w:color w:val="1A1A1A"/>
                <w:sz w:val="19"/>
                <w:szCs w:val="19"/>
              </w:rPr>
              <w:t xml:space="preserve">Planning engineers and project managers on mid-to-large construction sites — specifically in contracting setups where structured WPR reporting is already in place but the intelligence layer is missing.</w:t>
            </w:r>
          </w:p>
          <w:p>
            <w:pPr>
              <w:spacing w:after="0" w:before="160"/>
            </w:pPr>
            <w:r>
              <w:t xml:space="preserve"/>
            </w:r>
          </w:p>
          <w:p>
            <w:pPr>
              <w:spacing w:after="60" w:before="180"/>
            </w:pPr>
            <w:r>
              <w:rPr>
                <w:rFonts w:ascii="Arial" w:cs="Arial" w:eastAsia="Arial" w:hAnsi="Arial"/>
                <w:b/>
                <w:bCs/>
                <w:color w:val="0070C0"/>
                <w:sz w:val="19"/>
                <w:szCs w:val="19"/>
              </w:rPr>
              <w:t xml:space="preserve">MY BACKGROUND</w:t>
            </w:r>
          </w:p>
          <w:p>
            <w:pPr>
              <w:pBdr>
                <w:bottom w:val="single" w:color="0070C0" w:sz="6" w:space="1"/>
              </w:pBdr>
              <w:spacing w:after="100" w:before="0"/>
            </w:pPr>
            <w:r>
              <w:rPr>
                <w:sz w:val="2"/>
                <w:szCs w:val="2"/>
              </w:rPr>
              <w:t xml:space="preserve"/>
            </w:r>
          </w:p>
          <w:p>
            <w:pPr>
              <w:spacing w:after="60" w:before="60"/>
            </w:pPr>
            <w:r>
              <w:rPr>
                <w:rFonts w:ascii="Arial" w:cs="Arial" w:eastAsia="Arial" w:hAnsi="Arial"/>
                <w:b w:val="false"/>
                <w:bCs w:val="false"/>
                <w:i w:val="false"/>
                <w:iCs w:val="false"/>
                <w:color w:val="1A1A1A"/>
                <w:sz w:val="19"/>
                <w:szCs w:val="19"/>
              </w:rPr>
              <w:t xml:space="preserve">I spent 7 years as a planning engineer at Shapoorji Pallonji — on site, producing these reports, sitting in these review meetings, watching the same delays get discussed week after week. I know this problem from the inside.</w:t>
            </w:r>
          </w:p>
          <w:p>
            <w:pPr>
              <w:spacing w:after="60" w:before="60"/>
            </w:pPr>
            <w:r>
              <w:rPr>
                <w:rFonts w:ascii="Arial" w:cs="Arial" w:eastAsia="Arial" w:hAnsi="Arial"/>
                <w:b w:val="false"/>
                <w:bCs w:val="false"/>
                <w:i/>
                <w:iCs/>
                <w:color w:val="555555"/>
                <w:sz w:val="19"/>
                <w:szCs w:val="19"/>
              </w:rPr>
              <w:t xml:space="preserve">I am now rebuilding my technical foundation through the IIT Patna Generative AI programme. This capstone is an attempt to solve something I actually lived.</w:t>
            </w:r>
          </w:p>
        </w:tc>
        <w:tc>
          <w:tcPr>
            <w:tcW w:type="dxa" w:w="240"/>
            <w:tcBorders>
              <w:top w:val="none" w:color="FFFFFF" w:sz="0"/>
              <w:left w:val="none" w:color="FFFFFF" w:sz="0"/>
              <w:bottom w:val="none" w:color="FFFFFF" w:sz="0"/>
              <w:right w:val="none" w:color="FFFFFF" w:sz="0"/>
            </w:tcBorders>
          </w:tcPr>
          <w:p>
            <w:r>
              <w:t xml:space="preserve"/>
            </w:r>
          </w:p>
        </w:tc>
        <w:tc>
          <w:tcPr>
            <w:tcW w:type="dxa" w:w="4446"/>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60" w:before="180"/>
            </w:pPr>
            <w:r>
              <w:rPr>
                <w:rFonts w:ascii="Arial" w:cs="Arial" w:eastAsia="Arial" w:hAnsi="Arial"/>
                <w:b/>
                <w:bCs/>
                <w:color w:val="0070C0"/>
                <w:sz w:val="19"/>
                <w:szCs w:val="19"/>
              </w:rPr>
              <w:t xml:space="preserve">WHAT IT WILL DO</w:t>
            </w:r>
          </w:p>
          <w:p>
            <w:pPr>
              <w:pBdr>
                <w:bottom w:val="single" w:color="0070C0" w:sz="6" w:space="1"/>
              </w:pBdr>
              <w:spacing w:after="100" w:before="0"/>
            </w:pPr>
            <w:r>
              <w:rPr>
                <w:sz w:val="2"/>
                <w:szCs w:val="2"/>
              </w:rPr>
              <w:t xml:space="preserve"/>
            </w:r>
          </w:p>
          <w:p>
            <w:pPr>
              <w:pStyle w:val="ListParagraph"/>
              <w:numPr>
                <w:ilvl w:val="0"/>
                <w:numId w:val="2"/>
              </w:numPr>
              <w:spacing w:after="40" w:before="40"/>
            </w:pPr>
            <w:r>
              <w:rPr>
                <w:rFonts w:ascii="Arial" w:cs="Arial" w:eastAsia="Arial" w:hAnsi="Arial"/>
                <w:b/>
                <w:bCs/>
                <w:color w:val="1E2761"/>
                <w:sz w:val="19"/>
                <w:szCs w:val="19"/>
              </w:rPr>
              <w:t xml:space="preserve">Detect patterns across weeks — </w:t>
            </w:r>
            <w:r>
              <w:rPr>
                <w:rFonts w:ascii="Arial" w:cs="Arial" w:eastAsia="Arial" w:hAnsi="Arial"/>
                <w:color w:val="1A1A1A"/>
                <w:sz w:val="19"/>
                <w:szCs w:val="19"/>
              </w:rPr>
              <w:t xml:space="preserve">not just what happened, but whether things are getting better or worse</w:t>
            </w:r>
          </w:p>
          <w:p>
            <w:pPr>
              <w:pStyle w:val="ListParagraph"/>
              <w:numPr>
                <w:ilvl w:val="0"/>
                <w:numId w:val="2"/>
              </w:numPr>
              <w:spacing w:after="40" w:before="40"/>
            </w:pPr>
            <w:r>
              <w:rPr>
                <w:rFonts w:ascii="Arial" w:cs="Arial" w:eastAsia="Arial" w:hAnsi="Arial"/>
                <w:b/>
                <w:bCs/>
                <w:color w:val="1E2761"/>
                <w:sz w:val="19"/>
                <w:szCs w:val="19"/>
              </w:rPr>
              <w:t xml:space="preserve">Flag activities at risk — </w:t>
            </w:r>
            <w:r>
              <w:rPr>
                <w:rFonts w:ascii="Arial" w:cs="Arial" w:eastAsia="Arial" w:hAnsi="Arial"/>
                <w:color w:val="1A1A1A"/>
                <w:sz w:val="19"/>
                <w:szCs w:val="19"/>
              </w:rPr>
              <w:t xml:space="preserve">before the slip appears in the next WPR</w:t>
            </w:r>
          </w:p>
          <w:p>
            <w:pPr>
              <w:pStyle w:val="ListParagraph"/>
              <w:numPr>
                <w:ilvl w:val="0"/>
                <w:numId w:val="2"/>
              </w:numPr>
              <w:spacing w:after="40" w:before="40"/>
            </w:pPr>
            <w:r>
              <w:rPr>
                <w:rFonts w:ascii="Arial" w:cs="Arial" w:eastAsia="Arial" w:hAnsi="Arial"/>
                <w:b/>
                <w:bCs/>
                <w:color w:val="1E2761"/>
                <w:sz w:val="19"/>
                <w:szCs w:val="19"/>
              </w:rPr>
              <w:t xml:space="preserve">Simulate recovery scenarios — </w:t>
            </w:r>
            <w:r>
              <w:rPr>
                <w:rFonts w:ascii="Arial" w:cs="Arial" w:eastAsia="Arial" w:hAnsi="Arial"/>
                <w:color w:val="1A1A1A"/>
                <w:sz w:val="19"/>
                <w:szCs w:val="19"/>
              </w:rPr>
              <w:t xml:space="preserve">if we accelerate at X% per week, when do we finish?</w:t>
            </w:r>
          </w:p>
          <w:p>
            <w:pPr>
              <w:pStyle w:val="ListParagraph"/>
              <w:numPr>
                <w:ilvl w:val="0"/>
                <w:numId w:val="2"/>
              </w:numPr>
              <w:spacing w:after="40" w:before="40"/>
            </w:pPr>
            <w:r>
              <w:rPr>
                <w:rFonts w:ascii="Arial" w:cs="Arial" w:eastAsia="Arial" w:hAnsi="Arial"/>
                <w:b/>
                <w:bCs/>
                <w:color w:val="1E2761"/>
                <w:sz w:val="19"/>
                <w:szCs w:val="19"/>
              </w:rPr>
              <w:t xml:space="preserve">Generate a MOM automatically — </w:t>
            </w:r>
            <w:r>
              <w:rPr>
                <w:rFonts w:ascii="Arial" w:cs="Arial" w:eastAsia="Arial" w:hAnsi="Arial"/>
                <w:color w:val="1A1A1A"/>
                <w:sz w:val="19"/>
                <w:szCs w:val="19"/>
              </w:rPr>
              <w:t xml:space="preserve">with action items, responsible persons, and deadlines</w:t>
            </w:r>
          </w:p>
          <w:p>
            <w:pPr>
              <w:pStyle w:val="ListParagraph"/>
              <w:numPr>
                <w:ilvl w:val="0"/>
                <w:numId w:val="2"/>
              </w:numPr>
              <w:spacing w:after="40" w:before="40"/>
            </w:pPr>
            <w:r>
              <w:rPr>
                <w:rFonts w:ascii="Arial" w:cs="Arial" w:eastAsia="Arial" w:hAnsi="Arial"/>
                <w:b/>
                <w:bCs/>
                <w:color w:val="1E2761"/>
                <w:sz w:val="19"/>
                <w:szCs w:val="19"/>
              </w:rPr>
              <w:t xml:space="preserve">Send each person their own actions — </w:t>
            </w:r>
            <w:r>
              <w:rPr>
                <w:rFonts w:ascii="Arial" w:cs="Arial" w:eastAsia="Arial" w:hAnsi="Arial"/>
                <w:color w:val="1A1A1A"/>
                <w:sz w:val="19"/>
                <w:szCs w:val="19"/>
              </w:rPr>
              <w:t xml:space="preserve">not a full report, just what is relevant to them</w:t>
            </w:r>
          </w:p>
          <w:p>
            <w:pPr>
              <w:spacing w:after="0" w:before="160"/>
            </w:pPr>
            <w:r>
              <w:t xml:space="preserve"/>
            </w:r>
          </w:p>
          <w:p>
            <w:pPr>
              <w:spacing w:after="60" w:before="180"/>
            </w:pPr>
            <w:r>
              <w:rPr>
                <w:rFonts w:ascii="Arial" w:cs="Arial" w:eastAsia="Arial" w:hAnsi="Arial"/>
                <w:b/>
                <w:bCs/>
                <w:color w:val="0070C0"/>
                <w:sz w:val="19"/>
                <w:szCs w:val="19"/>
              </w:rPr>
              <w:t xml:space="preserve">TOOLS I PLAN TO USE</w:t>
            </w:r>
          </w:p>
          <w:p>
            <w:pPr>
              <w:pBdr>
                <w:bottom w:val="single" w:color="0070C0" w:sz="6" w:space="1"/>
              </w:pBdr>
              <w:spacing w:after="100" w:before="0"/>
            </w:pPr>
            <w:r>
              <w:rPr>
                <w:sz w:val="2"/>
                <w:szCs w:val="2"/>
              </w:rPr>
              <w:t xml:space="preserve"/>
            </w:r>
          </w:p>
          <w:p>
            <w:pPr>
              <w:spacing w:after="0" w:before="80"/>
            </w:pPr>
            <w:r>
              <w:t xml:space="preserve"/>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tblGrid>
            <w:tr>
              <w:tc>
                <w:tcPr>
                  <w:tcW w:type="dxa" w:w="1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b/>
                      <w:bCs/>
                      <w:color w:val="1E2761"/>
                      <w:sz w:val="17"/>
                      <w:szCs w:val="17"/>
                    </w:rPr>
                    <w:t xml:space="preserve">LLM / AI API</w:t>
                  </w:r>
                </w:p>
              </w:tc>
              <w:tc>
                <w:tcPr>
                  <w:tcW w:type="dxa" w:w="2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color w:val="1A1A1A"/>
                      <w:sz w:val="17"/>
                      <w:szCs w:val="17"/>
                    </w:rPr>
                    <w:t xml:space="preserve">Groq — narrative and insight generation</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b/>
                      <w:bCs/>
                      <w:color w:val="1E2761"/>
                      <w:sz w:val="17"/>
                      <w:szCs w:val="17"/>
                    </w:rPr>
                    <w:t xml:space="preserve">App / Frontend</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1A"/>
                      <w:sz w:val="17"/>
                      <w:szCs w:val="17"/>
                    </w:rPr>
                    <w:t xml:space="preserve">Streamlit → Lovable for web dashboard</w:t>
                  </w:r>
                </w:p>
              </w:tc>
            </w:tr>
            <w:tr>
              <w:tc>
                <w:tcPr>
                  <w:tcW w:type="dxa" w:w="1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b/>
                      <w:bCs/>
                      <w:color w:val="1E2761"/>
                      <w:sz w:val="17"/>
                      <w:szCs w:val="17"/>
                    </w:rPr>
                    <w:t xml:space="preserve">Database</w:t>
                  </w:r>
                </w:p>
              </w:tc>
              <w:tc>
                <w:tcPr>
                  <w:tcW w:type="dxa" w:w="2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color w:val="1A1A1A"/>
                      <w:sz w:val="17"/>
                      <w:szCs w:val="17"/>
                    </w:rPr>
                    <w:t xml:space="preserve">Supabase for structured data storage</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b/>
                      <w:bCs/>
                      <w:color w:val="1E2761"/>
                      <w:sz w:val="17"/>
                      <w:szCs w:val="17"/>
                    </w:rPr>
                    <w:t xml:space="preserve">Automation</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80"/>
                  </w:tcMar>
                </w:tcPr>
                <w:p>
                  <w:r>
                    <w:rPr>
                      <w:rFonts w:ascii="Arial" w:cs="Arial" w:eastAsia="Arial" w:hAnsi="Arial"/>
                      <w:color w:val="1A1A1A"/>
                      <w:sz w:val="17"/>
                      <w:szCs w:val="17"/>
                    </w:rPr>
                    <w:t xml:space="preserve">Python pipeline + Make.com (planned)</w:t>
                  </w:r>
                </w:p>
              </w:tc>
            </w:tr>
            <w:tr>
              <w:tc>
                <w:tcPr>
                  <w:tcW w:type="dxa" w:w="1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b/>
                      <w:bCs/>
                      <w:color w:val="1E2761"/>
                      <w:sz w:val="17"/>
                      <w:szCs w:val="17"/>
                    </w:rPr>
                    <w:t xml:space="preserve">Notifications</w:t>
                  </w:r>
                </w:p>
              </w:tc>
              <w:tc>
                <w:tcPr>
                  <w:tcW w:type="dxa" w:w="2600"/>
                  <w:tcBorders>
                    <w:top w:val="single" w:color="D0D8E8" w:sz="1"/>
                    <w:left w:val="single" w:color="D0D8E8" w:sz="1"/>
                    <w:bottom w:val="single" w:color="D0D8E8" w:sz="1"/>
                    <w:right w:val="single" w:color="D0D8E8" w:sz="1"/>
                  </w:tcBorders>
                  <w:shd w:fill="EBF3FB" w:val="clear"/>
                  <w:tcMar>
                    <w:top w:type="dxa" w:w="80"/>
                    <w:left w:type="dxa" w:w="120"/>
                    <w:bottom w:type="dxa" w:w="80"/>
                    <w:right w:type="dxa" w:w="80"/>
                  </w:tcMar>
                </w:tcPr>
                <w:p>
                  <w:r>
                    <w:rPr>
                      <w:rFonts w:ascii="Arial" w:cs="Arial" w:eastAsia="Arial" w:hAnsi="Arial"/>
                      <w:color w:val="1A1A1A"/>
                      <w:sz w:val="17"/>
                      <w:szCs w:val="17"/>
                    </w:rPr>
                    <w:t xml:space="preserve">Email per responsible person</w:t>
                  </w:r>
                </w:p>
              </w:tc>
            </w:tr>
          </w:tbl>
          <w:p>
            <w:pPr>
              <w:spacing w:after="0" w:before="160"/>
            </w:pPr>
            <w:r>
              <w:t xml:space="preserve"/>
            </w:r>
          </w:p>
          <w:p>
            <w:pPr>
              <w:spacing w:after="60" w:before="180"/>
            </w:pPr>
            <w:r>
              <w:rPr>
                <w:rFonts w:ascii="Arial" w:cs="Arial" w:eastAsia="Arial" w:hAnsi="Arial"/>
                <w:b/>
                <w:bCs/>
                <w:color w:val="0070C0"/>
                <w:sz w:val="19"/>
                <w:szCs w:val="19"/>
              </w:rPr>
              <w:t xml:space="preserve">THE BIGGER PICTURE</w:t>
            </w:r>
          </w:p>
          <w:p>
            <w:pPr>
              <w:pBdr>
                <w:bottom w:val="single" w:color="0070C0" w:sz="6" w:space="1"/>
              </w:pBdr>
              <w:spacing w:after="100" w:before="0"/>
            </w:pPr>
            <w:r>
              <w:rPr>
                <w:sz w:val="2"/>
                <w:szCs w:val="2"/>
              </w:rPr>
              <w:t xml:space="preserve"/>
            </w:r>
          </w:p>
          <w:p>
            <w:pPr>
              <w:spacing w:after="60" w:before="60"/>
            </w:pPr>
            <w:r>
              <w:rPr>
                <w:rFonts w:ascii="Arial" w:cs="Arial" w:eastAsia="Arial" w:hAnsi="Arial"/>
                <w:b w:val="false"/>
                <w:bCs w:val="false"/>
                <w:i w:val="false"/>
                <w:iCs w:val="false"/>
                <w:color w:val="1A1A1A"/>
                <w:sz w:val="19"/>
                <w:szCs w:val="19"/>
              </w:rPr>
              <w:t xml:space="preserve">Construction has always been about coordination — between people, schedules, materials, and decisions. The data to support that coordination already exists on every site. It just sits in spreadsheets that no one has time to properly analyse.</w:t>
            </w:r>
          </w:p>
          <w:p>
            <w:pPr>
              <w:spacing w:after="60" w:before="60"/>
            </w:pPr>
            <w:r>
              <w:rPr>
                <w:rFonts w:ascii="Arial" w:cs="Arial" w:eastAsia="Arial" w:hAnsi="Arial"/>
                <w:b w:val="false"/>
                <w:bCs w:val="false"/>
                <w:i w:val="false"/>
                <w:iCs w:val="false"/>
                <w:color w:val="1A1A1A"/>
                <w:sz w:val="19"/>
                <w:szCs w:val="19"/>
              </w:rPr>
              <w:t xml:space="preserve">SiteInsight is a small step toward changing that. Not by overhauling how teams work — but by making the work they already do more visible, more actionable, and less repetitive.</w:t>
            </w:r>
          </w:p>
          <w:p>
            <w:pPr>
              <w:spacing w:after="60" w:before="60"/>
            </w:pPr>
            <w:r>
              <w:rPr>
                <w:rFonts w:ascii="Arial" w:cs="Arial" w:eastAsia="Arial" w:hAnsi="Arial"/>
                <w:b w:val="false"/>
                <w:bCs w:val="false"/>
                <w:i/>
                <w:iCs/>
                <w:color w:val="555555"/>
                <w:sz w:val="19"/>
                <w:szCs w:val="19"/>
              </w:rPr>
              <w:t xml:space="preserve">If this works on a WPR, the same approach extends naturally to quality reports, billing summaries, and daily progress reporting.</w:t>
            </w:r>
          </w:p>
          <w:p>
            <w:pPr>
              <w:spacing w:after="0" w:before="160"/>
            </w:pPr>
            <w:r>
              <w:t xml:space="preserve"/>
            </w:r>
          </w:p>
          <w:p>
            <w:pPr>
              <w:spacing w:after="60" w:before="180"/>
            </w:pPr>
            <w:r>
              <w:rPr>
                <w:rFonts w:ascii="Arial" w:cs="Arial" w:eastAsia="Arial" w:hAnsi="Arial"/>
                <w:b/>
                <w:bCs/>
                <w:color w:val="0070C0"/>
                <w:sz w:val="19"/>
                <w:szCs w:val="19"/>
              </w:rPr>
              <w:t xml:space="preserve">PLAN FOR THE NEXT 4 WEEKS</w:t>
            </w:r>
          </w:p>
          <w:p>
            <w:pPr>
              <w:pBdr>
                <w:bottom w:val="single" w:color="0070C0" w:sz="6" w:space="1"/>
              </w:pBdr>
              <w:spacing w:after="100" w:before="0"/>
            </w:pPr>
            <w:r>
              <w:rPr>
                <w:sz w:val="2"/>
                <w:szCs w:val="2"/>
              </w:rPr>
              <w:t xml:space="preserve"/>
            </w:r>
          </w:p>
          <w:p>
            <w:pPr>
              <w:pStyle w:val="ListParagraph"/>
              <w:numPr>
                <w:ilvl w:val="0"/>
                <w:numId w:val="2"/>
              </w:numPr>
              <w:spacing w:after="40" w:before="40"/>
            </w:pPr>
            <w:r>
              <w:rPr>
                <w:rFonts w:ascii="Arial" w:cs="Arial" w:eastAsia="Arial" w:hAnsi="Arial"/>
                <w:b/>
                <w:bCs/>
                <w:color w:val="1E2761"/>
                <w:sz w:val="19"/>
                <w:szCs w:val="19"/>
              </w:rPr>
              <w:t xml:space="preserve">Week 1 — </w:t>
            </w:r>
            <w:r>
              <w:rPr>
                <w:rFonts w:ascii="Arial" w:cs="Arial" w:eastAsia="Arial" w:hAnsi="Arial"/>
                <w:color w:val="1A1A1A"/>
                <w:sz w:val="19"/>
                <w:szCs w:val="19"/>
              </w:rPr>
              <w:t xml:space="preserve">Finalise idea, define data flow, set up tools</w:t>
            </w:r>
          </w:p>
          <w:p>
            <w:pPr>
              <w:pStyle w:val="ListParagraph"/>
              <w:numPr>
                <w:ilvl w:val="0"/>
                <w:numId w:val="2"/>
              </w:numPr>
              <w:spacing w:after="40" w:before="40"/>
            </w:pPr>
            <w:r>
              <w:rPr>
                <w:rFonts w:ascii="Arial" w:cs="Arial" w:eastAsia="Arial" w:hAnsi="Arial"/>
                <w:b/>
                <w:bCs/>
                <w:color w:val="1E2761"/>
                <w:sz w:val="19"/>
                <w:szCs w:val="19"/>
              </w:rPr>
              <w:t xml:space="preserve">Week 2 — </w:t>
            </w:r>
            <w:r>
              <w:rPr>
                <w:rFonts w:ascii="Arial" w:cs="Arial" w:eastAsia="Arial" w:hAnsi="Arial"/>
                <w:color w:val="1A1A1A"/>
                <w:sz w:val="19"/>
                <w:szCs w:val="19"/>
              </w:rPr>
              <w:t xml:space="preserve">Build AI pipeline reading real WPR data</w:t>
            </w:r>
          </w:p>
          <w:p>
            <w:pPr>
              <w:pStyle w:val="ListParagraph"/>
              <w:numPr>
                <w:ilvl w:val="0"/>
                <w:numId w:val="2"/>
              </w:numPr>
              <w:spacing w:after="40" w:before="40"/>
            </w:pPr>
            <w:r>
              <w:rPr>
                <w:rFonts w:ascii="Arial" w:cs="Arial" w:eastAsia="Arial" w:hAnsi="Arial"/>
                <w:b/>
                <w:bCs/>
                <w:color w:val="1E2761"/>
                <w:sz w:val="19"/>
                <w:szCs w:val="19"/>
              </w:rPr>
              <w:t xml:space="preserve">Week 3 — </w:t>
            </w:r>
            <w:r>
              <w:rPr>
                <w:rFonts w:ascii="Arial" w:cs="Arial" w:eastAsia="Arial" w:hAnsi="Arial"/>
                <w:color w:val="1A1A1A"/>
                <w:sz w:val="19"/>
                <w:szCs w:val="19"/>
              </w:rPr>
              <w:t xml:space="preserve">Full web dashboard with intelligence outputs</w:t>
            </w:r>
          </w:p>
          <w:p>
            <w:pPr>
              <w:pStyle w:val="ListParagraph"/>
              <w:numPr>
                <w:ilvl w:val="0"/>
                <w:numId w:val="2"/>
              </w:numPr>
              <w:spacing w:after="40" w:before="40"/>
            </w:pPr>
            <w:r>
              <w:rPr>
                <w:rFonts w:ascii="Arial" w:cs="Arial" w:eastAsia="Arial" w:hAnsi="Arial"/>
                <w:b/>
                <w:bCs/>
                <w:color w:val="1E2761"/>
                <w:sz w:val="19"/>
                <w:szCs w:val="19"/>
              </w:rPr>
              <w:t xml:space="preserve">Week 4 — </w:t>
            </w:r>
            <w:r>
              <w:rPr>
                <w:rFonts w:ascii="Arial" w:cs="Arial" w:eastAsia="Arial" w:hAnsi="Arial"/>
                <w:color w:val="1A1A1A"/>
                <w:sz w:val="19"/>
                <w:szCs w:val="19"/>
              </w:rPr>
              <w:t xml:space="preserve">Polish, record demo video, public documentation</w:t>
            </w:r>
          </w:p>
        </w:tc>
      </w:tr>
    </w:tbl>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761" w:val="clear"/>
            <w:tcMar>
              <w:top w:type="dxa" w:w="120"/>
              <w:left w:type="dxa" w:w="240"/>
              <w:bottom w:type="dxa" w:w="120"/>
              <w:right w:type="dxa" w:w="240"/>
            </w:tcMar>
          </w:tcPr>
          <w:p>
            <w:pPr>
              <w:jc w:val="center"/>
            </w:pPr>
            <w:r>
              <w:rPr>
                <w:rFonts w:ascii="Arial" w:cs="Arial" w:eastAsia="Arial" w:hAnsi="Arial"/>
                <w:color w:val="A8C8F0"/>
                <w:sz w:val="16"/>
                <w:szCs w:val="16"/>
              </w:rPr>
              <w:t xml:space="preserve">#IITPatnaCapstone  ·  #GenerativeAI  ·  #ConstructionTech  ·  #SiteInsight</w:t>
            </w:r>
          </w:p>
        </w:tc>
      </w:tr>
    </w:tbl>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2026-04-10T10:39:28.716Z</dcterms:created>
  <dcterms:modified xsi:type="dcterms:W3CDTF">2026-04-10T10:39:28.717Z</dcterms:modified>
</cp:coreProperties>
</file>

<file path=docProps/custom.xml><?xml version="1.0" encoding="utf-8"?>
<Properties xmlns="http://schemas.openxmlformats.org/officeDocument/2006/custom-properties" xmlns:vt="http://schemas.openxmlformats.org/officeDocument/2006/docPropsVTypes"/>
</file>