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66" w:type="dxa"/>
        <w:tblInd w:w="-572" w:type="dxa"/>
        <w:tblLook w:val="04A0" w:firstRow="1" w:lastRow="0" w:firstColumn="1" w:lastColumn="0" w:noHBand="0" w:noVBand="1"/>
      </w:tblPr>
      <w:tblGrid>
        <w:gridCol w:w="8364"/>
        <w:gridCol w:w="3402"/>
      </w:tblGrid>
      <w:tr w:rsidR="00567EFC" w:rsidRPr="00EC0C70" w14:paraId="66DD2379" w14:textId="77777777" w:rsidTr="00771D46">
        <w:trPr>
          <w:trHeight w:val="427"/>
        </w:trPr>
        <w:tc>
          <w:tcPr>
            <w:tcW w:w="8364" w:type="dxa"/>
          </w:tcPr>
          <w:p w14:paraId="41E2C24C" w14:textId="77777777" w:rsidR="00567EFC" w:rsidRPr="00EC0C70" w:rsidRDefault="00FF60BA" w:rsidP="00757AA2">
            <w:pPr>
              <w:spacing w:before="100" w:beforeAutospacing="1" w:after="120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C0C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NVIDIA Corporation (NVDA)</w:t>
            </w:r>
          </w:p>
          <w:p w14:paraId="2716AD65" w14:textId="77777777" w:rsidR="00724CCD" w:rsidRPr="00EC0C70" w:rsidRDefault="00724CCD" w:rsidP="00724CCD">
            <w:pPr>
              <w:spacing w:before="100" w:beforeAutospacing="1" w:after="120"/>
              <w:rPr>
                <w:rFonts w:ascii="Times New Roman" w:hAnsi="Times New Roman" w:cs="Times New Roman"/>
                <w:b/>
                <w:bCs/>
              </w:rPr>
            </w:pPr>
            <w:r w:rsidRPr="00EC0C70">
              <w:rPr>
                <w:rFonts w:ascii="Times New Roman" w:hAnsi="Times New Roman" w:cs="Times New Roman"/>
                <w:b/>
                <w:bCs/>
              </w:rPr>
              <w:t>Investment Thesis</w:t>
            </w:r>
          </w:p>
          <w:p w14:paraId="2561B79D" w14:textId="0D18BD1D" w:rsidR="00F77412" w:rsidRPr="00EC0C70" w:rsidRDefault="00F77412" w:rsidP="00F77412">
            <w:pPr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>NVIDIA is the clear structural winner in the accelerating AI compute cycle. The company’s integrated full-stack architecture</w:t>
            </w:r>
            <w:r w:rsidR="00E45887" w:rsidRPr="00EC0C70">
              <w:rPr>
                <w:rFonts w:ascii="Times New Roman" w:hAnsi="Times New Roman" w:cs="Times New Roman"/>
              </w:rPr>
              <w:t xml:space="preserve">, </w:t>
            </w:r>
            <w:r w:rsidRPr="00EC0C70">
              <w:rPr>
                <w:rFonts w:ascii="Times New Roman" w:hAnsi="Times New Roman" w:cs="Times New Roman"/>
              </w:rPr>
              <w:t xml:space="preserve">spanning Blackwell GPUs, Grace CPUs, </w:t>
            </w:r>
            <w:proofErr w:type="spellStart"/>
            <w:r w:rsidRPr="00EC0C70">
              <w:rPr>
                <w:rFonts w:ascii="Times New Roman" w:hAnsi="Times New Roman" w:cs="Times New Roman"/>
              </w:rPr>
              <w:t>NVLink</w:t>
            </w:r>
            <w:proofErr w:type="spellEnd"/>
            <w:r w:rsidRPr="00EC0C70">
              <w:rPr>
                <w:rFonts w:ascii="Times New Roman" w:hAnsi="Times New Roman" w:cs="Times New Roman"/>
              </w:rPr>
              <w:t>/InfiniBand networking, CUDA software, and enterprise AI systems</w:t>
            </w:r>
            <w:r w:rsidR="00E45887" w:rsidRPr="00EC0C70">
              <w:rPr>
                <w:rFonts w:ascii="Times New Roman" w:hAnsi="Times New Roman" w:cs="Times New Roman"/>
              </w:rPr>
              <w:t xml:space="preserve">, </w:t>
            </w:r>
            <w:r w:rsidRPr="00EC0C70">
              <w:rPr>
                <w:rFonts w:ascii="Times New Roman" w:hAnsi="Times New Roman" w:cs="Times New Roman"/>
              </w:rPr>
              <w:t>positions it as the dominant supplier of global AI infrastructure with exceptionally high switching costs.</w:t>
            </w:r>
          </w:p>
          <w:p w14:paraId="30CDDA27" w14:textId="7C48709A" w:rsidR="00F77412" w:rsidRPr="00EC0C70" w:rsidRDefault="00F77412" w:rsidP="00F77412">
            <w:pPr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 xml:space="preserve">Our DCF valuation (WACC 10.3%, LTG 3%) supports a 12-month price target of 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$2</w:t>
            </w:r>
            <w:r w:rsidR="009026DF" w:rsidRPr="00EC0C70">
              <w:rPr>
                <w:rFonts w:ascii="Times New Roman" w:hAnsi="Times New Roman" w:cs="Times New Roman"/>
                <w:b/>
                <w:bCs/>
              </w:rPr>
              <w:t>75</w:t>
            </w:r>
            <w:r w:rsidRPr="00EC0C70">
              <w:rPr>
                <w:rFonts w:ascii="Times New Roman" w:hAnsi="Times New Roman" w:cs="Times New Roman"/>
              </w:rPr>
              <w:t xml:space="preserve">, implying </w:t>
            </w:r>
            <w:r w:rsidR="00C32CA7" w:rsidRPr="00C32CA7">
              <w:rPr>
                <w:rFonts w:ascii="Times New Roman" w:hAnsi="Times New Roman" w:cs="Times New Roman"/>
                <w:b/>
                <w:bCs/>
              </w:rPr>
              <w:t>55.7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% upside</w:t>
            </w:r>
            <w:r w:rsidRPr="00EC0C70">
              <w:rPr>
                <w:rFonts w:ascii="Times New Roman" w:hAnsi="Times New Roman" w:cs="Times New Roman"/>
              </w:rPr>
              <w:t xml:space="preserve"> from current levels. Growth is expected to be driven by sustained </w:t>
            </w:r>
            <w:proofErr w:type="spellStart"/>
            <w:r w:rsidRPr="00EC0C70">
              <w:rPr>
                <w:rFonts w:ascii="Times New Roman" w:hAnsi="Times New Roman" w:cs="Times New Roman"/>
              </w:rPr>
              <w:t>hyperscaler</w:t>
            </w:r>
            <w:proofErr w:type="spellEnd"/>
            <w:r w:rsidRPr="00EC0C70">
              <w:rPr>
                <w:rFonts w:ascii="Times New Roman" w:hAnsi="Times New Roman" w:cs="Times New Roman"/>
              </w:rPr>
              <w:t xml:space="preserve"> AI capex, rising enterprise adoption of agentic AI and simulation workloads, and NVIDIA’s continued leadership in high-performance accelerated computing.</w:t>
            </w:r>
          </w:p>
          <w:p w14:paraId="6436D505" w14:textId="77777777" w:rsidR="00F77412" w:rsidRPr="00EC0C70" w:rsidRDefault="00F77412" w:rsidP="00F77412">
            <w:pPr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>We believe the market underestimates the durability of NVIDIA’s AI infrastructure cycle and the long-term value of its software and platform ecosystem. This supports a constructive outlook and a favourable risk-reward profile.</w:t>
            </w:r>
          </w:p>
          <w:p w14:paraId="12C683C7" w14:textId="77777777" w:rsidR="00724CCD" w:rsidRPr="00EC0C70" w:rsidRDefault="00724CCD" w:rsidP="00724CCD">
            <w:pPr>
              <w:spacing w:before="100" w:beforeAutospacing="1" w:after="120"/>
              <w:rPr>
                <w:rFonts w:ascii="Times New Roman" w:hAnsi="Times New Roman" w:cs="Times New Roman"/>
                <w:b/>
                <w:bCs/>
              </w:rPr>
            </w:pPr>
            <w:r w:rsidRPr="00EC0C70">
              <w:rPr>
                <w:rFonts w:ascii="Times New Roman" w:hAnsi="Times New Roman" w:cs="Times New Roman"/>
                <w:b/>
                <w:bCs/>
              </w:rPr>
              <w:t>Key Drivers of Our Investment View</w:t>
            </w:r>
          </w:p>
          <w:p w14:paraId="425F33B1" w14:textId="77777777" w:rsidR="004A01B9" w:rsidRPr="00EC0C70" w:rsidRDefault="004A01B9" w:rsidP="004A01B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0C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 AI Infrastructure Cycle Supports Multi-Year Growth</w:t>
            </w:r>
          </w:p>
          <w:p w14:paraId="594EE0C5" w14:textId="64313FED" w:rsidR="004A01B9" w:rsidRPr="00EC0C70" w:rsidRDefault="004A01B9" w:rsidP="004A01B9">
            <w:pPr>
              <w:spacing w:after="1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C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NVIDIA remains the main beneficiary of rising AI </w:t>
            </w:r>
            <w:r w:rsidR="009026DF" w:rsidRPr="00EC0C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data-centre</w:t>
            </w:r>
            <w:r w:rsidRPr="00EC0C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spending. </w:t>
            </w:r>
            <w:proofErr w:type="spellStart"/>
            <w:r w:rsidRPr="00EC0C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Hyperscalers</w:t>
            </w:r>
            <w:proofErr w:type="spellEnd"/>
            <w:r w:rsidRPr="00EC0C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AI specialists are scaling “AI factories” at multi-gigawatt levels, driving strong visibility for GPU, networking, and full-stack system demand through 2030.</w:t>
            </w:r>
          </w:p>
          <w:p w14:paraId="4211CCBE" w14:textId="77777777" w:rsidR="004A01B9" w:rsidRPr="00EC0C70" w:rsidRDefault="004A01B9" w:rsidP="004A01B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0C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2. Strong Full-Stack Advantage Led by CUDA and High-Performance Interconnects</w:t>
            </w:r>
          </w:p>
          <w:p w14:paraId="3FE8736F" w14:textId="42EA7887" w:rsidR="004A01B9" w:rsidRPr="00EC0C70" w:rsidRDefault="004A01B9" w:rsidP="009026DF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C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NVIDIA’s platform</w:t>
            </w:r>
            <w:r w:rsidR="006854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EC0C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6854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like </w:t>
            </w:r>
            <w:r w:rsidRPr="00EC0C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CUDA-X, Blackwell, Grace-Blackwell, and </w:t>
            </w:r>
            <w:proofErr w:type="spellStart"/>
            <w:r w:rsidRPr="00EC0C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NVLink</w:t>
            </w:r>
            <w:proofErr w:type="spellEnd"/>
            <w:r w:rsidRPr="00EC0C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Fusion</w:t>
            </w:r>
            <w:r w:rsidR="006854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EC0C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continues to widen its competitive lead. Its deep software ecosystem creates lock-in that AMD and custom ASIC vendors struggle to match.</w:t>
            </w:r>
          </w:p>
          <w:p w14:paraId="53A13E11" w14:textId="77777777" w:rsidR="004A01B9" w:rsidRPr="00EC0C70" w:rsidRDefault="004A01B9" w:rsidP="004A01B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0C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3. Margin Stability Supported by Software and Networking Attach</w:t>
            </w:r>
          </w:p>
          <w:p w14:paraId="6BD6FCB9" w14:textId="77777777" w:rsidR="004A01B9" w:rsidRPr="00EC0C70" w:rsidRDefault="004A01B9" w:rsidP="009026DF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C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Growing contributions from AI Enterprise, CUDA libraries, Omniverse, and high-margin networking products improve pricing power, drive recurring revenue, and support blended margin strength even as system shipments rise.</w:t>
            </w:r>
          </w:p>
          <w:p w14:paraId="31AA2A49" w14:textId="3B71CCD8" w:rsidR="004A01B9" w:rsidRPr="00EC0C70" w:rsidRDefault="004A01B9" w:rsidP="004A01B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0C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4. Long-Term Optionality Beyond Data </w:t>
            </w:r>
            <w:r w:rsidR="009026DF" w:rsidRPr="00EC0C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Centres</w:t>
            </w:r>
          </w:p>
          <w:p w14:paraId="68250DB5" w14:textId="77777777" w:rsidR="004A01B9" w:rsidRPr="00EC0C70" w:rsidRDefault="004A01B9" w:rsidP="009026DF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C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NVIDIA is expanding into robotics, industrial digital twins, simulation, and AI-enabled devices. These emerging segments provide long-run optionality beyond the current AI infrastructure cycle.</w:t>
            </w:r>
          </w:p>
          <w:p w14:paraId="41A586FE" w14:textId="77777777" w:rsidR="00BA52D5" w:rsidRPr="00EC0C70" w:rsidRDefault="001F52C5" w:rsidP="004A01B9">
            <w:pPr>
              <w:spacing w:before="240" w:after="120"/>
              <w:rPr>
                <w:rFonts w:ascii="Times New Roman" w:hAnsi="Times New Roman" w:cs="Times New Roman"/>
                <w:b/>
                <w:bCs/>
              </w:rPr>
            </w:pPr>
            <w:r w:rsidRPr="00EC0C70">
              <w:rPr>
                <w:rFonts w:ascii="Times New Roman" w:hAnsi="Times New Roman" w:cs="Times New Roman"/>
                <w:b/>
                <w:bCs/>
              </w:rPr>
              <w:t>Catalysts</w:t>
            </w:r>
          </w:p>
          <w:p w14:paraId="167428A9" w14:textId="12DCC29E" w:rsidR="00A46FA6" w:rsidRPr="00EC0C70" w:rsidRDefault="00A46FA6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 xml:space="preserve">The volume ramp of Blackwell and Grace-Blackwell systems through FY2026 is expected to accelerate </w:t>
            </w:r>
            <w:r w:rsidR="009026DF" w:rsidRPr="00EC0C70">
              <w:rPr>
                <w:rFonts w:ascii="Times New Roman" w:hAnsi="Times New Roman" w:cs="Times New Roman"/>
              </w:rPr>
              <w:t>data-centre</w:t>
            </w:r>
            <w:r w:rsidRPr="00EC0C70">
              <w:rPr>
                <w:rFonts w:ascii="Times New Roman" w:hAnsi="Times New Roman" w:cs="Times New Roman"/>
              </w:rPr>
              <w:t xml:space="preserve"> revenue and support quarterly earnings momentum.</w:t>
            </w:r>
          </w:p>
          <w:p w14:paraId="586149E3" w14:textId="5A2A23C3" w:rsidR="00A46FA6" w:rsidRPr="00EC0C70" w:rsidRDefault="00A46FA6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 xml:space="preserve">Additional AI factory and cluster expansion announcements from Microsoft, Meta, Google, AWS, Oracle, and </w:t>
            </w:r>
            <w:proofErr w:type="spellStart"/>
            <w:r w:rsidRPr="00EC0C70">
              <w:rPr>
                <w:rFonts w:ascii="Times New Roman" w:hAnsi="Times New Roman" w:cs="Times New Roman"/>
              </w:rPr>
              <w:t>xAI</w:t>
            </w:r>
            <w:proofErr w:type="spellEnd"/>
            <w:r w:rsidRPr="00EC0C70">
              <w:rPr>
                <w:rFonts w:ascii="Times New Roman" w:hAnsi="Times New Roman" w:cs="Times New Roman"/>
              </w:rPr>
              <w:t xml:space="preserve"> could materially raise demand expectations for NVIDIA’s accelerators.</w:t>
            </w:r>
          </w:p>
          <w:p w14:paraId="22489736" w14:textId="3B23F2F6" w:rsidR="00A46FA6" w:rsidRPr="00EC0C70" w:rsidRDefault="00A46FA6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 xml:space="preserve">Earnings releases and guidance updates may provide visibility into </w:t>
            </w:r>
            <w:r w:rsidR="009026DF" w:rsidRPr="00EC0C70">
              <w:rPr>
                <w:rFonts w:ascii="Times New Roman" w:hAnsi="Times New Roman" w:cs="Times New Roman"/>
              </w:rPr>
              <w:t>data-centre</w:t>
            </w:r>
            <w:r w:rsidRPr="00EC0C70">
              <w:rPr>
                <w:rFonts w:ascii="Times New Roman" w:hAnsi="Times New Roman" w:cs="Times New Roman"/>
              </w:rPr>
              <w:t xml:space="preserve"> growth, margin trajectory, and software contribution.</w:t>
            </w:r>
          </w:p>
          <w:p w14:paraId="34450C5D" w14:textId="66E6627D" w:rsidR="00A46FA6" w:rsidRPr="00EC0C70" w:rsidRDefault="00A46FA6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>Continued enterprise adoption of NVIDIA AI Enterprise, DGX Cloud, and Omniverse may highlight expanding recurring revenue drivers.</w:t>
            </w:r>
          </w:p>
          <w:p w14:paraId="65C55CED" w14:textId="12E5789A" w:rsidR="00A46FA6" w:rsidRPr="00EC0C70" w:rsidRDefault="00A46FA6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 xml:space="preserve">Broader deployment of </w:t>
            </w:r>
            <w:proofErr w:type="spellStart"/>
            <w:r w:rsidRPr="00EC0C70">
              <w:rPr>
                <w:rFonts w:ascii="Times New Roman" w:hAnsi="Times New Roman" w:cs="Times New Roman"/>
              </w:rPr>
              <w:t>NVLink</w:t>
            </w:r>
            <w:proofErr w:type="spellEnd"/>
            <w:r w:rsidRPr="00EC0C70">
              <w:rPr>
                <w:rFonts w:ascii="Times New Roman" w:hAnsi="Times New Roman" w:cs="Times New Roman"/>
              </w:rPr>
              <w:t xml:space="preserve"> Fusion and InfiniBand solutions may strengthen system-level economics and reinforce platform dominance.</w:t>
            </w:r>
          </w:p>
          <w:p w14:paraId="0D52B074" w14:textId="77777777" w:rsidR="00A46FA6" w:rsidRPr="00EC0C70" w:rsidRDefault="00A46FA6">
            <w:pPr>
              <w:pStyle w:val="ListParagraph"/>
              <w:numPr>
                <w:ilvl w:val="0"/>
                <w:numId w:val="3"/>
              </w:numPr>
              <w:spacing w:before="100" w:beforeAutospacing="1" w:after="120"/>
              <w:rPr>
                <w:rFonts w:ascii="Times New Roman" w:hAnsi="Times New Roman" w:cs="Times New Roman"/>
                <w:b/>
                <w:bCs/>
              </w:rPr>
            </w:pPr>
            <w:r w:rsidRPr="00EC0C70">
              <w:rPr>
                <w:rFonts w:ascii="Times New Roman" w:hAnsi="Times New Roman" w:cs="Times New Roman"/>
              </w:rPr>
              <w:t>Modifications to U.S. export restrictions or new export-compliant GPU variants could open incremental demand in China and other restricted markets.</w:t>
            </w:r>
          </w:p>
          <w:p w14:paraId="59850124" w14:textId="08505828" w:rsidR="006E0B54" w:rsidRPr="00EC0C70" w:rsidRDefault="006E0B54" w:rsidP="00A46FA6">
            <w:pPr>
              <w:spacing w:before="100" w:beforeAutospacing="1" w:after="120"/>
              <w:rPr>
                <w:rFonts w:ascii="Times New Roman" w:hAnsi="Times New Roman" w:cs="Times New Roman"/>
                <w:b/>
                <w:bCs/>
              </w:rPr>
            </w:pPr>
            <w:r w:rsidRPr="00EC0C70">
              <w:rPr>
                <w:rFonts w:ascii="Times New Roman" w:hAnsi="Times New Roman" w:cs="Times New Roman"/>
                <w:b/>
                <w:bCs/>
              </w:rPr>
              <w:t>Key Financial Snapshot: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760"/>
              <w:gridCol w:w="828"/>
              <w:gridCol w:w="916"/>
              <w:gridCol w:w="916"/>
              <w:gridCol w:w="916"/>
              <w:gridCol w:w="916"/>
              <w:gridCol w:w="916"/>
              <w:gridCol w:w="916"/>
            </w:tblGrid>
            <w:tr w:rsidR="006E0B54" w:rsidRPr="00EC0C70" w14:paraId="1F51FA41" w14:textId="77777777" w:rsidTr="00771D46">
              <w:trPr>
                <w:trHeight w:val="20"/>
              </w:trPr>
              <w:tc>
                <w:tcPr>
                  <w:tcW w:w="0" w:type="auto"/>
                  <w:hideMark/>
                </w:tcPr>
                <w:p w14:paraId="2CF7EDF5" w14:textId="77777777" w:rsidR="006E0B54" w:rsidRPr="00EC0C70" w:rsidRDefault="006E0B54" w:rsidP="006E0B5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Metric</w:t>
                  </w:r>
                </w:p>
              </w:tc>
              <w:tc>
                <w:tcPr>
                  <w:tcW w:w="0" w:type="auto"/>
                  <w:hideMark/>
                </w:tcPr>
                <w:p w14:paraId="3E708DD2" w14:textId="77777777" w:rsidR="006E0B54" w:rsidRPr="00EC0C70" w:rsidRDefault="006E0B54" w:rsidP="006E0B5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FY24A</w:t>
                  </w:r>
                </w:p>
              </w:tc>
              <w:tc>
                <w:tcPr>
                  <w:tcW w:w="0" w:type="auto"/>
                  <w:hideMark/>
                </w:tcPr>
                <w:p w14:paraId="7EFD8581" w14:textId="77777777" w:rsidR="006E0B54" w:rsidRPr="00EC0C70" w:rsidRDefault="006E0B54" w:rsidP="006E0B5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FY25A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5EF7AC5C" w14:textId="77777777" w:rsidR="006E0B54" w:rsidRPr="00EC0C70" w:rsidRDefault="006E0B54" w:rsidP="006E0B5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FY26F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5E9C210F" w14:textId="77777777" w:rsidR="006E0B54" w:rsidRPr="00EC0C70" w:rsidRDefault="006E0B54" w:rsidP="006E0B5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FY27F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26AD1BE9" w14:textId="77777777" w:rsidR="006E0B54" w:rsidRPr="00EC0C70" w:rsidRDefault="006E0B54" w:rsidP="006E0B5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FY28F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5A147CDB" w14:textId="77777777" w:rsidR="006E0B54" w:rsidRPr="00EC0C70" w:rsidRDefault="006E0B54" w:rsidP="006E0B5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FY29F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5F06B4C6" w14:textId="77777777" w:rsidR="006E0B54" w:rsidRPr="00EC0C70" w:rsidRDefault="006E0B54" w:rsidP="006E0B5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FY30F</w:t>
                  </w:r>
                </w:p>
              </w:tc>
            </w:tr>
            <w:tr w:rsidR="006E0B54" w:rsidRPr="00EC0C70" w14:paraId="2FA38A9B" w14:textId="77777777" w:rsidTr="00771D46">
              <w:trPr>
                <w:trHeight w:val="20"/>
              </w:trPr>
              <w:tc>
                <w:tcPr>
                  <w:tcW w:w="0" w:type="auto"/>
                  <w:hideMark/>
                </w:tcPr>
                <w:p w14:paraId="26FA5FCA" w14:textId="77777777" w:rsidR="006E0B54" w:rsidRPr="00EC0C70" w:rsidRDefault="006E0B54" w:rsidP="006E0B5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Revenue</w:t>
                  </w:r>
                </w:p>
              </w:tc>
              <w:tc>
                <w:tcPr>
                  <w:tcW w:w="0" w:type="auto"/>
                  <w:hideMark/>
                </w:tcPr>
                <w:p w14:paraId="6E39897E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60,922</w:t>
                  </w:r>
                </w:p>
              </w:tc>
              <w:tc>
                <w:tcPr>
                  <w:tcW w:w="0" w:type="auto"/>
                  <w:hideMark/>
                </w:tcPr>
                <w:p w14:paraId="305CA10F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1,30,497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6C9B80B5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2,07,453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24A58BCD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2,75,813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7DF10E9C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3,28,597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23CA8064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3,66,767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2AAC50C6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3,95,352</w:t>
                  </w:r>
                </w:p>
              </w:tc>
            </w:tr>
            <w:tr w:rsidR="006E0B54" w:rsidRPr="00EC0C70" w14:paraId="1B9AADF1" w14:textId="77777777" w:rsidTr="00771D46">
              <w:trPr>
                <w:trHeight w:val="20"/>
              </w:trPr>
              <w:tc>
                <w:tcPr>
                  <w:tcW w:w="0" w:type="auto"/>
                  <w:hideMark/>
                </w:tcPr>
                <w:p w14:paraId="30092B82" w14:textId="77777777" w:rsidR="006E0B54" w:rsidRPr="00EC0C70" w:rsidRDefault="006E0B54" w:rsidP="006E0B5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EBITDA</w:t>
                  </w:r>
                </w:p>
              </w:tc>
              <w:tc>
                <w:tcPr>
                  <w:tcW w:w="0" w:type="auto"/>
                  <w:hideMark/>
                </w:tcPr>
                <w:p w14:paraId="6AD6F3D7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5,292</w:t>
                  </w:r>
                </w:p>
              </w:tc>
              <w:tc>
                <w:tcPr>
                  <w:tcW w:w="0" w:type="auto"/>
                  <w:hideMark/>
                </w:tcPr>
                <w:p w14:paraId="5355623C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16,234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DA67DA1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22,820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472E3732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31,167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53084B5C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38,446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03FEC3B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56,849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2F5644D0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71,954</w:t>
                  </w:r>
                </w:p>
              </w:tc>
            </w:tr>
            <w:tr w:rsidR="006E0B54" w:rsidRPr="00EC0C70" w14:paraId="5508789E" w14:textId="77777777" w:rsidTr="00771D46">
              <w:trPr>
                <w:trHeight w:val="20"/>
              </w:trPr>
              <w:tc>
                <w:tcPr>
                  <w:tcW w:w="0" w:type="auto"/>
                  <w:hideMark/>
                </w:tcPr>
                <w:p w14:paraId="180FB844" w14:textId="77777777" w:rsidR="006E0B54" w:rsidRPr="00EC0C70" w:rsidRDefault="006E0B54" w:rsidP="006E0B5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EBITDA Margin</w:t>
                  </w:r>
                </w:p>
              </w:tc>
              <w:tc>
                <w:tcPr>
                  <w:tcW w:w="0" w:type="auto"/>
                  <w:hideMark/>
                </w:tcPr>
                <w:p w14:paraId="2E1CC7A5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8.70%</w:t>
                  </w:r>
                </w:p>
              </w:tc>
              <w:tc>
                <w:tcPr>
                  <w:tcW w:w="0" w:type="auto"/>
                  <w:hideMark/>
                </w:tcPr>
                <w:p w14:paraId="2123CE99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12.40%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75B98C42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11.00%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6A46C785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11.30%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386129C9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11.70%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28CD027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15.50%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6F1A0A42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18.20%</w:t>
                  </w:r>
                </w:p>
              </w:tc>
            </w:tr>
            <w:tr w:rsidR="006E0B54" w:rsidRPr="00EC0C70" w14:paraId="2F3B6C6E" w14:textId="77777777" w:rsidTr="00771D46">
              <w:trPr>
                <w:trHeight w:val="20"/>
              </w:trPr>
              <w:tc>
                <w:tcPr>
                  <w:tcW w:w="0" w:type="auto"/>
                  <w:hideMark/>
                </w:tcPr>
                <w:p w14:paraId="410832DE" w14:textId="77777777" w:rsidR="006E0B54" w:rsidRPr="00EC0C70" w:rsidRDefault="006E0B54" w:rsidP="006E0B5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EBIT</w:t>
                  </w:r>
                </w:p>
              </w:tc>
              <w:tc>
                <w:tcPr>
                  <w:tcW w:w="0" w:type="auto"/>
                  <w:hideMark/>
                </w:tcPr>
                <w:p w14:paraId="729456F2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1,783</w:t>
                  </w:r>
                </w:p>
              </w:tc>
              <w:tc>
                <w:tcPr>
                  <w:tcW w:w="0" w:type="auto"/>
                  <w:hideMark/>
                </w:tcPr>
                <w:p w14:paraId="3FD87C1F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11,833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6F1E94FD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21,007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346A50D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28,244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48369001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34,112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703F5D9D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50,924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49F74C6A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64,347</w:t>
                  </w:r>
                </w:p>
              </w:tc>
            </w:tr>
            <w:tr w:rsidR="006E0B54" w:rsidRPr="00EC0C70" w14:paraId="643A5F8A" w14:textId="77777777" w:rsidTr="00771D46">
              <w:trPr>
                <w:trHeight w:val="20"/>
              </w:trPr>
              <w:tc>
                <w:tcPr>
                  <w:tcW w:w="0" w:type="auto"/>
                  <w:hideMark/>
                </w:tcPr>
                <w:p w14:paraId="15BB7D59" w14:textId="77777777" w:rsidR="006E0B54" w:rsidRPr="00EC0C70" w:rsidRDefault="006E0B54" w:rsidP="006E0B5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EBT</w:t>
                  </w:r>
                </w:p>
              </w:tc>
              <w:tc>
                <w:tcPr>
                  <w:tcW w:w="0" w:type="auto"/>
                  <w:hideMark/>
                </w:tcPr>
                <w:p w14:paraId="54C47A73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1,174</w:t>
                  </w:r>
                </w:p>
              </w:tc>
              <w:tc>
                <w:tcPr>
                  <w:tcW w:w="0" w:type="auto"/>
                  <w:hideMark/>
                </w:tcPr>
                <w:p w14:paraId="109A73AF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10,294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1054B541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20,177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1CBA2654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27,003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2C5D2255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32,469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BFAEB1A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49,090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3419FE37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62,370</w:t>
                  </w:r>
                </w:p>
              </w:tc>
            </w:tr>
            <w:tr w:rsidR="006E0B54" w:rsidRPr="00EC0C70" w14:paraId="26983327" w14:textId="77777777" w:rsidTr="00771D46">
              <w:trPr>
                <w:trHeight w:val="20"/>
              </w:trPr>
              <w:tc>
                <w:tcPr>
                  <w:tcW w:w="0" w:type="auto"/>
                  <w:hideMark/>
                </w:tcPr>
                <w:p w14:paraId="2E702FFD" w14:textId="77777777" w:rsidR="006E0B54" w:rsidRPr="00EC0C70" w:rsidRDefault="006E0B54" w:rsidP="006E0B5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Net Profit</w:t>
                  </w:r>
                </w:p>
              </w:tc>
              <w:tc>
                <w:tcPr>
                  <w:tcW w:w="0" w:type="auto"/>
                  <w:hideMark/>
                </w:tcPr>
                <w:p w14:paraId="20EDC43E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1,169</w:t>
                  </w:r>
                </w:p>
              </w:tc>
              <w:tc>
                <w:tcPr>
                  <w:tcW w:w="0" w:type="auto"/>
                  <w:hideMark/>
                </w:tcPr>
                <w:p w14:paraId="5C8E555D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17,655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5B6DBEA1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23,627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1C370B45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28,411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6B8154F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42,954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5F1636DD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54,574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72439AD8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62,416</w:t>
                  </w:r>
                </w:p>
              </w:tc>
            </w:tr>
            <w:tr w:rsidR="006E0B54" w:rsidRPr="00EC0C70" w14:paraId="71E6054A" w14:textId="77777777" w:rsidTr="00771D46">
              <w:trPr>
                <w:trHeight w:val="20"/>
              </w:trPr>
              <w:tc>
                <w:tcPr>
                  <w:tcW w:w="0" w:type="auto"/>
                  <w:hideMark/>
                </w:tcPr>
                <w:p w14:paraId="37EF1B30" w14:textId="77777777" w:rsidR="006E0B54" w:rsidRPr="00EC0C70" w:rsidRDefault="006E0B54" w:rsidP="006E0B5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lastRenderedPageBreak/>
                    <w:t>Net Profit Margin</w:t>
                  </w:r>
                </w:p>
              </w:tc>
              <w:tc>
                <w:tcPr>
                  <w:tcW w:w="0" w:type="auto"/>
                  <w:hideMark/>
                </w:tcPr>
                <w:p w14:paraId="6AF2C6DE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1.90%</w:t>
                  </w:r>
                </w:p>
              </w:tc>
              <w:tc>
                <w:tcPr>
                  <w:tcW w:w="0" w:type="auto"/>
                  <w:hideMark/>
                </w:tcPr>
                <w:p w14:paraId="7EC428F5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13.50%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46643803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11.40%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DC5B26B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10.30%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745A78DA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13.10%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4DDB360F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14.90%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6DB5C8D2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15.80%</w:t>
                  </w:r>
                </w:p>
              </w:tc>
            </w:tr>
            <w:tr w:rsidR="006E0B54" w:rsidRPr="00EC0C70" w14:paraId="43E2445D" w14:textId="77777777" w:rsidTr="00771D46">
              <w:trPr>
                <w:trHeight w:val="20"/>
              </w:trPr>
              <w:tc>
                <w:tcPr>
                  <w:tcW w:w="0" w:type="auto"/>
                  <w:hideMark/>
                </w:tcPr>
                <w:p w14:paraId="2065E265" w14:textId="77777777" w:rsidR="006E0B54" w:rsidRPr="00EC0C70" w:rsidRDefault="006E0B54" w:rsidP="006E0B5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UFCF</w:t>
                  </w:r>
                </w:p>
              </w:tc>
              <w:tc>
                <w:tcPr>
                  <w:tcW w:w="0" w:type="auto"/>
                  <w:hideMark/>
                </w:tcPr>
                <w:p w14:paraId="7FAAEF90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20,027</w:t>
                  </w:r>
                </w:p>
              </w:tc>
              <w:tc>
                <w:tcPr>
                  <w:tcW w:w="0" w:type="auto"/>
                  <w:hideMark/>
                </w:tcPr>
                <w:p w14:paraId="5BB57454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44,324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5B3C8EA9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10,306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3D39C28F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9,769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6BE9C7A1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17,539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29C69F9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35,797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459A19F2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50,684</w:t>
                  </w:r>
                </w:p>
              </w:tc>
            </w:tr>
            <w:tr w:rsidR="006E0B54" w:rsidRPr="00EC0C70" w14:paraId="1CBC89DB" w14:textId="77777777" w:rsidTr="00771D46">
              <w:trPr>
                <w:trHeight w:val="20"/>
              </w:trPr>
              <w:tc>
                <w:tcPr>
                  <w:tcW w:w="0" w:type="auto"/>
                  <w:hideMark/>
                </w:tcPr>
                <w:p w14:paraId="5A658065" w14:textId="77777777" w:rsidR="006E0B54" w:rsidRPr="00EC0C70" w:rsidRDefault="006E0B54" w:rsidP="006E0B5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Capex / Sales %</w:t>
                  </w:r>
                </w:p>
              </w:tc>
              <w:tc>
                <w:tcPr>
                  <w:tcW w:w="0" w:type="auto"/>
                  <w:hideMark/>
                </w:tcPr>
                <w:p w14:paraId="02FB9004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1.75%</w:t>
                  </w:r>
                </w:p>
              </w:tc>
              <w:tc>
                <w:tcPr>
                  <w:tcW w:w="0" w:type="auto"/>
                  <w:hideMark/>
                </w:tcPr>
                <w:p w14:paraId="07D09D75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2.48%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6935473A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2.70%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3BFA75F8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2.80%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128C89F5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2.80%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34952DD5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2.70%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5A0C1633" w14:textId="77777777" w:rsidR="006E0B54" w:rsidRPr="00EC0C70" w:rsidRDefault="006E0B54" w:rsidP="006E0B54">
                  <w:pPr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C0C7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2.60%</w:t>
                  </w:r>
                </w:p>
              </w:tc>
            </w:tr>
          </w:tbl>
          <w:p w14:paraId="5A622999" w14:textId="55C3F46E" w:rsidR="001F52C5" w:rsidRPr="00EC0C70" w:rsidRDefault="001F52C5" w:rsidP="001F52C5">
            <w:pPr>
              <w:spacing w:before="100" w:beforeAutospacing="1" w:after="120"/>
              <w:rPr>
                <w:rFonts w:ascii="Times New Roman" w:hAnsi="Times New Roman" w:cs="Times New Roman"/>
                <w:b/>
                <w:bCs/>
              </w:rPr>
            </w:pPr>
            <w:r w:rsidRPr="00EC0C70">
              <w:rPr>
                <w:rFonts w:ascii="Times New Roman" w:hAnsi="Times New Roman" w:cs="Times New Roman"/>
                <w:b/>
                <w:bCs/>
              </w:rPr>
              <w:t>Valuation</w:t>
            </w:r>
          </w:p>
          <w:p w14:paraId="6CDF9110" w14:textId="77777777" w:rsidR="007F683B" w:rsidRPr="00EC0C70" w:rsidRDefault="007F683B" w:rsidP="007F683B">
            <w:pPr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 xml:space="preserve">We value NVIDIA using three methodologies: 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Perpetuity DCF, Exit Multiple, and Relative Valuation</w:t>
            </w:r>
            <w:r w:rsidRPr="00EC0C70">
              <w:rPr>
                <w:rFonts w:ascii="Times New Roman" w:hAnsi="Times New Roman" w:cs="Times New Roman"/>
              </w:rPr>
              <w:t xml:space="preserve"> across Bull, Base, and Bear scenarios.</w:t>
            </w:r>
          </w:p>
          <w:p w14:paraId="57CCFB69" w14:textId="77777777" w:rsidR="007F683B" w:rsidRPr="00EC0C70" w:rsidRDefault="007F683B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 xml:space="preserve">The 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Base Case Perpetuity DCF value of $275</w:t>
            </w:r>
            <w:r w:rsidRPr="00EC0C70">
              <w:rPr>
                <w:rFonts w:ascii="Times New Roman" w:hAnsi="Times New Roman" w:cs="Times New Roman"/>
              </w:rPr>
              <w:t xml:space="preserve"> is our most reliable indicator of intrinsic value, supported by strong returns, competitive advantage, and multi-year AI infrastructure visibility.</w:t>
            </w:r>
          </w:p>
          <w:p w14:paraId="6DD5DADC" w14:textId="77777777" w:rsidR="007F683B" w:rsidRPr="00EC0C70" w:rsidRDefault="007F683B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 xml:space="preserve">The 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Exit Multiple valuation of $389</w:t>
            </w:r>
            <w:r w:rsidRPr="00EC0C70">
              <w:rPr>
                <w:rFonts w:ascii="Times New Roman" w:hAnsi="Times New Roman" w:cs="Times New Roman"/>
              </w:rPr>
              <w:t xml:space="preserve"> reinforces the view that the market prices NVIDIA as a structural growth compounder.</w:t>
            </w:r>
          </w:p>
          <w:p w14:paraId="403A2375" w14:textId="77777777" w:rsidR="007F683B" w:rsidRPr="00EC0C70" w:rsidRDefault="007F683B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 xml:space="preserve">Our valuation range spans 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$251 (Bear DCF)</w:t>
            </w:r>
            <w:r w:rsidRPr="00EC0C70">
              <w:rPr>
                <w:rFonts w:ascii="Times New Roman" w:hAnsi="Times New Roman" w:cs="Times New Roman"/>
              </w:rPr>
              <w:t xml:space="preserve"> to 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$410 (Bull Exit Multiple)</w:t>
            </w:r>
            <w:r w:rsidRPr="00EC0C70">
              <w:rPr>
                <w:rFonts w:ascii="Times New Roman" w:hAnsi="Times New Roman" w:cs="Times New Roman"/>
              </w:rPr>
              <w:t>, with the Base Case triangulating toward the mid-$200s to high-$300s.</w:t>
            </w:r>
          </w:p>
          <w:p w14:paraId="116F0AF6" w14:textId="77777777" w:rsidR="007F683B" w:rsidRPr="00EC0C70" w:rsidRDefault="007F683B" w:rsidP="007F683B">
            <w:pPr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 xml:space="preserve">Overall, all methods indicate 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material upside</w:t>
            </w:r>
            <w:r w:rsidRPr="00EC0C70">
              <w:rPr>
                <w:rFonts w:ascii="Times New Roman" w:hAnsi="Times New Roman" w:cs="Times New Roman"/>
              </w:rPr>
              <w:t xml:space="preserve"> with no scenario suggesting meaningful downside under reasonable assumptions.</w:t>
            </w:r>
          </w:p>
          <w:p w14:paraId="56866274" w14:textId="059DA74E" w:rsidR="00055D57" w:rsidRPr="00EC0C70" w:rsidRDefault="00055D57" w:rsidP="007F683B">
            <w:pPr>
              <w:spacing w:before="240" w:after="120"/>
              <w:rPr>
                <w:rFonts w:ascii="Times New Roman" w:hAnsi="Times New Roman" w:cs="Times New Roman"/>
                <w:b/>
                <w:bCs/>
              </w:rPr>
            </w:pPr>
            <w:r w:rsidRPr="00EC0C70">
              <w:rPr>
                <w:rFonts w:ascii="Times New Roman" w:hAnsi="Times New Roman" w:cs="Times New Roman"/>
                <w:b/>
                <w:bCs/>
              </w:rPr>
              <w:t xml:space="preserve">Key </w:t>
            </w:r>
            <w:r w:rsidR="007F683B" w:rsidRPr="00EC0C70">
              <w:rPr>
                <w:rFonts w:ascii="Times New Roman" w:hAnsi="Times New Roman" w:cs="Times New Roman"/>
                <w:b/>
                <w:bCs/>
              </w:rPr>
              <w:t>Risks</w:t>
            </w:r>
          </w:p>
          <w:p w14:paraId="7C7BD454" w14:textId="77777777" w:rsidR="00055D57" w:rsidRPr="00EC0C70" w:rsidRDefault="00055D57">
            <w:pPr>
              <w:pStyle w:val="ListParagraph"/>
              <w:numPr>
                <w:ilvl w:val="0"/>
                <w:numId w:val="1"/>
              </w:numPr>
              <w:spacing w:after="12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0C70">
              <w:rPr>
                <w:rFonts w:ascii="Times New Roman" w:hAnsi="Times New Roman" w:cs="Times New Roman"/>
              </w:rPr>
              <w:t>Hyperscaler</w:t>
            </w:r>
            <w:proofErr w:type="spellEnd"/>
            <w:r w:rsidRPr="00EC0C70">
              <w:rPr>
                <w:rFonts w:ascii="Times New Roman" w:hAnsi="Times New Roman" w:cs="Times New Roman"/>
              </w:rPr>
              <w:t xml:space="preserve"> capex could moderate after large upgrade cycles.</w:t>
            </w:r>
          </w:p>
          <w:p w14:paraId="358D92B4" w14:textId="5FE91472" w:rsidR="00055D57" w:rsidRPr="00EC0C70" w:rsidRDefault="00055D57">
            <w:pPr>
              <w:pStyle w:val="ListParagraph"/>
              <w:numPr>
                <w:ilvl w:val="0"/>
                <w:numId w:val="1"/>
              </w:numPr>
              <w:spacing w:after="120"/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 xml:space="preserve">Export restrictions, especially to China, may limit </w:t>
            </w:r>
            <w:r w:rsidR="009026DF" w:rsidRPr="00EC0C70">
              <w:rPr>
                <w:rFonts w:ascii="Times New Roman" w:hAnsi="Times New Roman" w:cs="Times New Roman"/>
              </w:rPr>
              <w:t>data-centre</w:t>
            </w:r>
            <w:r w:rsidRPr="00EC0C70">
              <w:rPr>
                <w:rFonts w:ascii="Times New Roman" w:hAnsi="Times New Roman" w:cs="Times New Roman"/>
              </w:rPr>
              <w:t xml:space="preserve"> shipments.</w:t>
            </w:r>
          </w:p>
          <w:p w14:paraId="1341C45B" w14:textId="77777777" w:rsidR="00055D57" w:rsidRPr="00EC0C70" w:rsidRDefault="00055D57">
            <w:pPr>
              <w:pStyle w:val="ListParagraph"/>
              <w:numPr>
                <w:ilvl w:val="0"/>
                <w:numId w:val="1"/>
              </w:numPr>
              <w:spacing w:after="120"/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>Competition from AMD and custom silicon could increase over time.</w:t>
            </w:r>
          </w:p>
          <w:p w14:paraId="5D169D0A" w14:textId="77777777" w:rsidR="00055D57" w:rsidRPr="00EC0C70" w:rsidRDefault="00055D57">
            <w:pPr>
              <w:pStyle w:val="ListParagraph"/>
              <w:numPr>
                <w:ilvl w:val="0"/>
                <w:numId w:val="1"/>
              </w:numPr>
              <w:spacing w:after="120"/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>Gross margins may face pressure if system mix rises faster than software and networking.</w:t>
            </w:r>
          </w:p>
          <w:p w14:paraId="07BFC05E" w14:textId="2967D430" w:rsidR="005D7EAC" w:rsidRPr="00EC0C70" w:rsidRDefault="005D7EAC" w:rsidP="007F683B">
            <w:pPr>
              <w:spacing w:before="240" w:after="120"/>
              <w:rPr>
                <w:rFonts w:ascii="Times New Roman" w:hAnsi="Times New Roman" w:cs="Times New Roman"/>
                <w:b/>
                <w:bCs/>
              </w:rPr>
            </w:pPr>
            <w:r w:rsidRPr="00EC0C70">
              <w:rPr>
                <w:rFonts w:ascii="Times New Roman" w:hAnsi="Times New Roman" w:cs="Times New Roman"/>
                <w:b/>
                <w:bCs/>
              </w:rPr>
              <w:t>Recent Developments / Updates</w:t>
            </w:r>
          </w:p>
          <w:p w14:paraId="366F7645" w14:textId="6D99DD30" w:rsidR="00DC62AA" w:rsidRPr="00EC0C70" w:rsidRDefault="00DC62A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 xml:space="preserve">NVIDIA unveiled over 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80 new scientific supercomputing</w:t>
            </w:r>
            <w:r w:rsidRPr="00EC0C70">
              <w:rPr>
                <w:rFonts w:ascii="Times New Roman" w:hAnsi="Times New Roman" w:cs="Times New Roman"/>
              </w:rPr>
              <w:t xml:space="preserve"> 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systems</w:t>
            </w:r>
            <w:r w:rsidRPr="00EC0C70">
              <w:rPr>
                <w:rFonts w:ascii="Times New Roman" w:hAnsi="Times New Roman" w:cs="Times New Roman"/>
              </w:rPr>
              <w:t xml:space="preserve">, adding 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4,500 exaflops</w:t>
            </w:r>
            <w:r w:rsidRPr="00EC0C70">
              <w:rPr>
                <w:rFonts w:ascii="Times New Roman" w:hAnsi="Times New Roman" w:cs="Times New Roman"/>
              </w:rPr>
              <w:t xml:space="preserve"> of AI performance globally, underscoring </w:t>
            </w:r>
            <w:r w:rsidR="009026DF" w:rsidRPr="00EC0C70">
              <w:rPr>
                <w:rFonts w:ascii="Times New Roman" w:hAnsi="Times New Roman" w:cs="Times New Roman"/>
              </w:rPr>
              <w:t xml:space="preserve">the </w:t>
            </w:r>
            <w:r w:rsidRPr="00EC0C70">
              <w:rPr>
                <w:rFonts w:ascii="Times New Roman" w:hAnsi="Times New Roman" w:cs="Times New Roman"/>
              </w:rPr>
              <w:t>rapid adoption of its accelerated computing stack.</w:t>
            </w:r>
          </w:p>
          <w:p w14:paraId="7597295D" w14:textId="754AB1B9" w:rsidR="00DC62AA" w:rsidRPr="00EC0C70" w:rsidRDefault="00DC62A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 xml:space="preserve">The company launched the 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Newton Physics Engine</w:t>
            </w:r>
            <w:r w:rsidRPr="00EC0C70">
              <w:rPr>
                <w:rFonts w:ascii="Times New Roman" w:hAnsi="Times New Roman" w:cs="Times New Roman"/>
              </w:rPr>
              <w:t xml:space="preserve"> and 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Isaac GR00T</w:t>
            </w:r>
            <w:r w:rsidRPr="00EC0C70">
              <w:rPr>
                <w:rFonts w:ascii="Times New Roman" w:hAnsi="Times New Roman" w:cs="Times New Roman"/>
              </w:rPr>
              <w:t xml:space="preserve"> robotics model, strengthening its presence in physical AI, simulation, and autonomous systems.</w:t>
            </w:r>
          </w:p>
          <w:p w14:paraId="0EB817BD" w14:textId="431ACEFE" w:rsidR="00580E3C" w:rsidRPr="00EC0C70" w:rsidRDefault="00DC62AA">
            <w:pPr>
              <w:numPr>
                <w:ilvl w:val="0"/>
                <w:numId w:val="2"/>
              </w:numPr>
              <w:spacing w:after="120"/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</w:rPr>
              <w:t xml:space="preserve">NVIDIA is shifting AI server designs toward 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LPDDR-based memory</w:t>
            </w:r>
            <w:r w:rsidRPr="00EC0C70">
              <w:rPr>
                <w:rFonts w:ascii="Times New Roman" w:hAnsi="Times New Roman" w:cs="Times New Roman"/>
              </w:rPr>
              <w:t>, which may tighten supply and significantly raise server-memory pricing by late 2026.</w:t>
            </w:r>
          </w:p>
          <w:p w14:paraId="4EAF7ED3" w14:textId="68E0AF75" w:rsidR="00580E3C" w:rsidRPr="00EC0C70" w:rsidRDefault="00580E3C" w:rsidP="00CC5989">
            <w:pPr>
              <w:spacing w:before="240" w:after="120"/>
              <w:rPr>
                <w:rFonts w:ascii="Times New Roman" w:hAnsi="Times New Roman" w:cs="Times New Roman"/>
                <w:b/>
                <w:bCs/>
              </w:rPr>
            </w:pPr>
            <w:r w:rsidRPr="00EC0C70">
              <w:rPr>
                <w:rFonts w:ascii="Times New Roman" w:hAnsi="Times New Roman" w:cs="Times New Roman"/>
                <w:b/>
                <w:bCs/>
              </w:rPr>
              <w:t>Final Recommendation</w:t>
            </w:r>
          </w:p>
          <w:p w14:paraId="3DA1441D" w14:textId="4E9D0FCD" w:rsidR="00580E3C" w:rsidRPr="00EC0C70" w:rsidRDefault="00580E3C" w:rsidP="009026DF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EC0C70">
              <w:rPr>
                <w:rFonts w:ascii="Times New Roman" w:hAnsi="Times New Roman" w:cs="Times New Roman"/>
                <w:b/>
                <w:bCs/>
              </w:rPr>
              <w:t>We initiate coverage with an Overweight rating</w:t>
            </w:r>
            <w:r w:rsidRPr="00EC0C70">
              <w:rPr>
                <w:rFonts w:ascii="Times New Roman" w:hAnsi="Times New Roman" w:cs="Times New Roman"/>
              </w:rPr>
              <w:t xml:space="preserve"> driven by NVIDIA’s full-stack leadership, multi-year AI infrastructure growth, expanding software ecosystem, and strong valuation support. Our base-case target price of 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$2</w:t>
            </w:r>
            <w:r w:rsidR="009026DF" w:rsidRPr="00EC0C70">
              <w:rPr>
                <w:rFonts w:ascii="Times New Roman" w:hAnsi="Times New Roman" w:cs="Times New Roman"/>
                <w:b/>
                <w:bCs/>
              </w:rPr>
              <w:t>75</w:t>
            </w:r>
            <w:r w:rsidRPr="00EC0C70">
              <w:rPr>
                <w:rFonts w:ascii="Times New Roman" w:hAnsi="Times New Roman" w:cs="Times New Roman"/>
              </w:rPr>
              <w:t xml:space="preserve"> implies </w:t>
            </w:r>
            <w:r w:rsidR="0031032C" w:rsidRPr="0031032C">
              <w:rPr>
                <w:rFonts w:ascii="Times New Roman" w:hAnsi="Times New Roman" w:cs="Times New Roman"/>
                <w:b/>
                <w:bCs/>
              </w:rPr>
              <w:t>55.7</w:t>
            </w:r>
            <w:r w:rsidRPr="00EC0C70">
              <w:rPr>
                <w:rFonts w:ascii="Times New Roman" w:hAnsi="Times New Roman" w:cs="Times New Roman"/>
                <w:b/>
                <w:bCs/>
              </w:rPr>
              <w:t>% upside</w:t>
            </w:r>
            <w:r w:rsidRPr="00EC0C70">
              <w:rPr>
                <w:rFonts w:ascii="Times New Roman" w:hAnsi="Times New Roman" w:cs="Times New Roman"/>
              </w:rPr>
              <w:t>, with additional optionality in robotics, simulation, and enterprise AI.</w:t>
            </w:r>
          </w:p>
          <w:p w14:paraId="03DE3238" w14:textId="77777777" w:rsidR="005D7EAC" w:rsidRPr="00EC0C70" w:rsidRDefault="005D7EAC" w:rsidP="00BA52D5">
            <w:pPr>
              <w:spacing w:after="120"/>
              <w:rPr>
                <w:rFonts w:ascii="Times New Roman" w:hAnsi="Times New Roman" w:cs="Times New Roman"/>
              </w:rPr>
            </w:pPr>
          </w:p>
          <w:p w14:paraId="1D342823" w14:textId="1838C3B3" w:rsidR="005D7EAC" w:rsidRPr="00EC0C70" w:rsidRDefault="005D7EAC" w:rsidP="00BA52D5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</w:tcPr>
          <w:p w14:paraId="57CCE9D2" w14:textId="77777777" w:rsidR="00771D46" w:rsidRPr="00EC0C70" w:rsidRDefault="00771D46" w:rsidP="00E2795C">
            <w:pPr>
              <w:spacing w:before="100" w:beforeAutospacing="1" w:after="120"/>
              <w:rPr>
                <w:rFonts w:ascii="Times New Roman" w:hAnsi="Times New Roman" w:cs="Times New Roman"/>
                <w:b/>
                <w:bCs/>
              </w:rPr>
            </w:pPr>
          </w:p>
          <w:p w14:paraId="1C98C62A" w14:textId="77777777" w:rsidR="00771D46" w:rsidRPr="00EC0C70" w:rsidRDefault="00771D46" w:rsidP="00E2795C">
            <w:pPr>
              <w:spacing w:before="100" w:beforeAutospacing="1" w:after="120"/>
              <w:rPr>
                <w:rFonts w:ascii="Times New Roman" w:hAnsi="Times New Roman" w:cs="Times New Roman"/>
                <w:b/>
                <w:bCs/>
              </w:rPr>
            </w:pPr>
          </w:p>
          <w:p w14:paraId="74F49AA2" w14:textId="7459B919" w:rsidR="00567EFC" w:rsidRPr="00EC0C70" w:rsidRDefault="008338DD" w:rsidP="00757AA2">
            <w:pPr>
              <w:spacing w:before="100" w:beforeAutospacing="1" w:after="120"/>
              <w:rPr>
                <w:rFonts w:ascii="Times New Roman" w:hAnsi="Times New Roman" w:cs="Times New Roman"/>
              </w:rPr>
            </w:pPr>
            <w:r w:rsidRPr="00EC0C70">
              <w:rPr>
                <w:rStyle w:val="Strong"/>
                <w:rFonts w:ascii="Times New Roman" w:hAnsi="Times New Roman" w:cs="Times New Roman"/>
              </w:rPr>
              <w:t>Company:</w:t>
            </w:r>
            <w:r w:rsidRPr="00EC0C70">
              <w:rPr>
                <w:rFonts w:ascii="Times New Roman" w:hAnsi="Times New Roman" w:cs="Times New Roman"/>
              </w:rPr>
              <w:t xml:space="preserve"> NVIDIA Corporation</w:t>
            </w:r>
            <w:r w:rsidRPr="00EC0C70">
              <w:rPr>
                <w:rFonts w:ascii="Times New Roman" w:hAnsi="Times New Roman" w:cs="Times New Roman"/>
              </w:rPr>
              <w:br/>
            </w:r>
            <w:r w:rsidRPr="00EC0C70">
              <w:rPr>
                <w:rStyle w:val="Strong"/>
                <w:rFonts w:ascii="Times New Roman" w:hAnsi="Times New Roman" w:cs="Times New Roman"/>
              </w:rPr>
              <w:t>Ticker:</w:t>
            </w:r>
            <w:r w:rsidRPr="00EC0C70">
              <w:rPr>
                <w:rFonts w:ascii="Times New Roman" w:hAnsi="Times New Roman" w:cs="Times New Roman"/>
              </w:rPr>
              <w:t xml:space="preserve"> NVDA</w:t>
            </w:r>
            <w:r w:rsidRPr="00EC0C70">
              <w:rPr>
                <w:rFonts w:ascii="Times New Roman" w:hAnsi="Times New Roman" w:cs="Times New Roman"/>
              </w:rPr>
              <w:br/>
            </w:r>
            <w:r w:rsidRPr="00EC0C70">
              <w:rPr>
                <w:rStyle w:val="Strong"/>
                <w:rFonts w:ascii="Times New Roman" w:hAnsi="Times New Roman" w:cs="Times New Roman"/>
              </w:rPr>
              <w:t>Sector:</w:t>
            </w:r>
            <w:r w:rsidRPr="00EC0C70">
              <w:rPr>
                <w:rFonts w:ascii="Times New Roman" w:hAnsi="Times New Roman" w:cs="Times New Roman"/>
              </w:rPr>
              <w:t xml:space="preserve"> Semiconductors / AI Infrastructure</w:t>
            </w:r>
            <w:r w:rsidRPr="00EC0C70">
              <w:rPr>
                <w:rFonts w:ascii="Times New Roman" w:hAnsi="Times New Roman" w:cs="Times New Roman"/>
              </w:rPr>
              <w:br/>
            </w:r>
            <w:r w:rsidRPr="00EC0C70">
              <w:rPr>
                <w:rStyle w:val="Strong"/>
                <w:rFonts w:ascii="Times New Roman" w:hAnsi="Times New Roman" w:cs="Times New Roman"/>
              </w:rPr>
              <w:t>Date:</w:t>
            </w:r>
            <w:r w:rsidRPr="00EC0C70">
              <w:rPr>
                <w:rFonts w:ascii="Times New Roman" w:hAnsi="Times New Roman" w:cs="Times New Roman"/>
              </w:rPr>
              <w:t xml:space="preserve"> 20 November 2025</w:t>
            </w:r>
            <w:r w:rsidRPr="00EC0C70">
              <w:rPr>
                <w:rFonts w:ascii="Times New Roman" w:hAnsi="Times New Roman" w:cs="Times New Roman"/>
              </w:rPr>
              <w:br/>
            </w:r>
            <w:r w:rsidRPr="00EC0C70">
              <w:rPr>
                <w:rStyle w:val="Strong"/>
                <w:rFonts w:ascii="Times New Roman" w:hAnsi="Times New Roman" w:cs="Times New Roman"/>
              </w:rPr>
              <w:t>Rating:</w:t>
            </w:r>
            <w:r w:rsidRPr="00EC0C70">
              <w:rPr>
                <w:rFonts w:ascii="Times New Roman" w:hAnsi="Times New Roman" w:cs="Times New Roman"/>
              </w:rPr>
              <w:t xml:space="preserve"> </w:t>
            </w:r>
            <w:r w:rsidRPr="00EC0C70">
              <w:rPr>
                <w:rStyle w:val="Strong"/>
                <w:rFonts w:ascii="Times New Roman" w:hAnsi="Times New Roman" w:cs="Times New Roman"/>
              </w:rPr>
              <w:t>Buy / Overweight</w:t>
            </w:r>
            <w:r w:rsidRPr="00EC0C70">
              <w:rPr>
                <w:rFonts w:ascii="Times New Roman" w:hAnsi="Times New Roman" w:cs="Times New Roman"/>
              </w:rPr>
              <w:br/>
            </w:r>
            <w:r w:rsidRPr="00EC0C70">
              <w:rPr>
                <w:rStyle w:val="Strong"/>
                <w:rFonts w:ascii="Times New Roman" w:hAnsi="Times New Roman" w:cs="Times New Roman"/>
              </w:rPr>
              <w:t>Target Price:</w:t>
            </w:r>
            <w:r w:rsidRPr="00EC0C70">
              <w:rPr>
                <w:rFonts w:ascii="Times New Roman" w:hAnsi="Times New Roman" w:cs="Times New Roman"/>
              </w:rPr>
              <w:t xml:space="preserve"> </w:t>
            </w:r>
            <w:r w:rsidRPr="00EC0C70">
              <w:rPr>
                <w:rStyle w:val="Strong"/>
                <w:rFonts w:ascii="Times New Roman" w:hAnsi="Times New Roman" w:cs="Times New Roman"/>
              </w:rPr>
              <w:t>$2</w:t>
            </w:r>
            <w:r w:rsidR="009026DF" w:rsidRPr="00EC0C70">
              <w:rPr>
                <w:rStyle w:val="Strong"/>
                <w:rFonts w:ascii="Times New Roman" w:hAnsi="Times New Roman" w:cs="Times New Roman"/>
              </w:rPr>
              <w:t>75</w:t>
            </w:r>
            <w:r w:rsidRPr="00EC0C70">
              <w:rPr>
                <w:rFonts w:ascii="Times New Roman" w:hAnsi="Times New Roman" w:cs="Times New Roman"/>
              </w:rPr>
              <w:br/>
            </w:r>
            <w:r w:rsidRPr="00EC0C70">
              <w:rPr>
                <w:rStyle w:val="Strong"/>
                <w:rFonts w:ascii="Times New Roman" w:hAnsi="Times New Roman" w:cs="Times New Roman"/>
              </w:rPr>
              <w:t>Implied Upside:</w:t>
            </w:r>
            <w:r w:rsidRPr="00EC0C70">
              <w:rPr>
                <w:rFonts w:ascii="Times New Roman" w:hAnsi="Times New Roman" w:cs="Times New Roman"/>
              </w:rPr>
              <w:t xml:space="preserve"> </w:t>
            </w:r>
            <w:r w:rsidRPr="00EC0C70">
              <w:rPr>
                <w:rStyle w:val="Strong"/>
                <w:rFonts w:ascii="Times New Roman" w:hAnsi="Times New Roman" w:cs="Times New Roman"/>
              </w:rPr>
              <w:t>+</w:t>
            </w:r>
            <w:r w:rsidR="0031032C">
              <w:rPr>
                <w:rStyle w:val="Strong"/>
                <w:rFonts w:ascii="Times New Roman" w:hAnsi="Times New Roman" w:cs="Times New Roman"/>
              </w:rPr>
              <w:t>55.7</w:t>
            </w:r>
            <w:r w:rsidRPr="00EC0C70">
              <w:rPr>
                <w:rStyle w:val="Strong"/>
                <w:rFonts w:ascii="Times New Roman" w:hAnsi="Times New Roman" w:cs="Times New Roman"/>
              </w:rPr>
              <w:t>%</w:t>
            </w:r>
            <w:r w:rsidRPr="00EC0C70">
              <w:rPr>
                <w:rFonts w:ascii="Times New Roman" w:hAnsi="Times New Roman" w:cs="Times New Roman"/>
              </w:rPr>
              <w:t xml:space="preserve"> from $176.67</w:t>
            </w:r>
          </w:p>
        </w:tc>
      </w:tr>
    </w:tbl>
    <w:p w14:paraId="34994EEB" w14:textId="77777777" w:rsidR="004A4CA7" w:rsidRPr="004A4CA7" w:rsidRDefault="004A4CA7" w:rsidP="006513A6">
      <w:pPr>
        <w:rPr>
          <w:lang w:val="en-US"/>
        </w:rPr>
      </w:pPr>
    </w:p>
    <w:sectPr w:rsidR="004A4CA7" w:rsidRPr="004A4CA7" w:rsidSect="00757AA2">
      <w:pgSz w:w="11906" w:h="16838"/>
      <w:pgMar w:top="284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3F9F"/>
    <w:multiLevelType w:val="multilevel"/>
    <w:tmpl w:val="05224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B7864"/>
    <w:multiLevelType w:val="hybridMultilevel"/>
    <w:tmpl w:val="BAE68C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4740A3"/>
    <w:multiLevelType w:val="multilevel"/>
    <w:tmpl w:val="DB9EE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F4800"/>
    <w:multiLevelType w:val="hybridMultilevel"/>
    <w:tmpl w:val="B3AE8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8525100">
    <w:abstractNumId w:val="1"/>
  </w:num>
  <w:num w:numId="2" w16cid:durableId="1402606512">
    <w:abstractNumId w:val="0"/>
  </w:num>
  <w:num w:numId="3" w16cid:durableId="656802974">
    <w:abstractNumId w:val="3"/>
  </w:num>
  <w:num w:numId="4" w16cid:durableId="174764945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CD2"/>
    <w:rsid w:val="0005551D"/>
    <w:rsid w:val="00055D57"/>
    <w:rsid w:val="00062066"/>
    <w:rsid w:val="00092352"/>
    <w:rsid w:val="00092A11"/>
    <w:rsid w:val="00096E11"/>
    <w:rsid w:val="000A4840"/>
    <w:rsid w:val="000A69FF"/>
    <w:rsid w:val="000B79CE"/>
    <w:rsid w:val="000B7FEE"/>
    <w:rsid w:val="000D3240"/>
    <w:rsid w:val="000F0EAC"/>
    <w:rsid w:val="00107AB7"/>
    <w:rsid w:val="00115B8A"/>
    <w:rsid w:val="0013061C"/>
    <w:rsid w:val="001377C4"/>
    <w:rsid w:val="0014079F"/>
    <w:rsid w:val="00146073"/>
    <w:rsid w:val="00146AB5"/>
    <w:rsid w:val="001B7FEF"/>
    <w:rsid w:val="001C6CA1"/>
    <w:rsid w:val="001F52C5"/>
    <w:rsid w:val="00215BE8"/>
    <w:rsid w:val="00223DBC"/>
    <w:rsid w:val="002704AC"/>
    <w:rsid w:val="00295E13"/>
    <w:rsid w:val="002B5F61"/>
    <w:rsid w:val="002D1E66"/>
    <w:rsid w:val="002D4961"/>
    <w:rsid w:val="002F2EC8"/>
    <w:rsid w:val="002F6AEA"/>
    <w:rsid w:val="0030041B"/>
    <w:rsid w:val="0031032C"/>
    <w:rsid w:val="00350DF7"/>
    <w:rsid w:val="00361115"/>
    <w:rsid w:val="003678E3"/>
    <w:rsid w:val="003D1CD2"/>
    <w:rsid w:val="00400A10"/>
    <w:rsid w:val="00416583"/>
    <w:rsid w:val="004259E0"/>
    <w:rsid w:val="0043311A"/>
    <w:rsid w:val="00444C74"/>
    <w:rsid w:val="0045021A"/>
    <w:rsid w:val="00453F98"/>
    <w:rsid w:val="0045794F"/>
    <w:rsid w:val="00465A0E"/>
    <w:rsid w:val="00472AF1"/>
    <w:rsid w:val="0047412C"/>
    <w:rsid w:val="00482A4D"/>
    <w:rsid w:val="004A01B9"/>
    <w:rsid w:val="004A4CA7"/>
    <w:rsid w:val="004B4F95"/>
    <w:rsid w:val="004B759B"/>
    <w:rsid w:val="004B7A77"/>
    <w:rsid w:val="004C6232"/>
    <w:rsid w:val="004D5FE4"/>
    <w:rsid w:val="004F0CC8"/>
    <w:rsid w:val="004F2683"/>
    <w:rsid w:val="00537706"/>
    <w:rsid w:val="00542A1D"/>
    <w:rsid w:val="0055175E"/>
    <w:rsid w:val="00556A6A"/>
    <w:rsid w:val="00567EFC"/>
    <w:rsid w:val="0057651F"/>
    <w:rsid w:val="00580E3C"/>
    <w:rsid w:val="00583F6E"/>
    <w:rsid w:val="00592FC7"/>
    <w:rsid w:val="005B21BB"/>
    <w:rsid w:val="005C1B90"/>
    <w:rsid w:val="005D1A93"/>
    <w:rsid w:val="005D7EAC"/>
    <w:rsid w:val="005F6626"/>
    <w:rsid w:val="0062078E"/>
    <w:rsid w:val="00636237"/>
    <w:rsid w:val="006513A6"/>
    <w:rsid w:val="00651745"/>
    <w:rsid w:val="00671A9D"/>
    <w:rsid w:val="00672239"/>
    <w:rsid w:val="006764B0"/>
    <w:rsid w:val="00685493"/>
    <w:rsid w:val="006A35ED"/>
    <w:rsid w:val="006E0B54"/>
    <w:rsid w:val="006E66A9"/>
    <w:rsid w:val="007123A5"/>
    <w:rsid w:val="0072148D"/>
    <w:rsid w:val="00724CCD"/>
    <w:rsid w:val="00753ADB"/>
    <w:rsid w:val="00757AA2"/>
    <w:rsid w:val="00771D46"/>
    <w:rsid w:val="00774A1A"/>
    <w:rsid w:val="007A043C"/>
    <w:rsid w:val="007A4621"/>
    <w:rsid w:val="007E75B8"/>
    <w:rsid w:val="007F49B2"/>
    <w:rsid w:val="007F683B"/>
    <w:rsid w:val="008338DD"/>
    <w:rsid w:val="00834C4E"/>
    <w:rsid w:val="00852D11"/>
    <w:rsid w:val="00860BA8"/>
    <w:rsid w:val="00894CB1"/>
    <w:rsid w:val="008C1E4C"/>
    <w:rsid w:val="008D3EF5"/>
    <w:rsid w:val="008F2CE5"/>
    <w:rsid w:val="009026DF"/>
    <w:rsid w:val="009344E8"/>
    <w:rsid w:val="00962401"/>
    <w:rsid w:val="00977F75"/>
    <w:rsid w:val="00995E83"/>
    <w:rsid w:val="009D69CC"/>
    <w:rsid w:val="009F1B60"/>
    <w:rsid w:val="00A04525"/>
    <w:rsid w:val="00A206E5"/>
    <w:rsid w:val="00A44985"/>
    <w:rsid w:val="00A46FA6"/>
    <w:rsid w:val="00A7114B"/>
    <w:rsid w:val="00A77112"/>
    <w:rsid w:val="00A836B6"/>
    <w:rsid w:val="00B07DDD"/>
    <w:rsid w:val="00B11EC3"/>
    <w:rsid w:val="00B11FBE"/>
    <w:rsid w:val="00B16FDF"/>
    <w:rsid w:val="00B3277E"/>
    <w:rsid w:val="00B46149"/>
    <w:rsid w:val="00B807BF"/>
    <w:rsid w:val="00B85457"/>
    <w:rsid w:val="00B9638A"/>
    <w:rsid w:val="00BA1523"/>
    <w:rsid w:val="00BA52D5"/>
    <w:rsid w:val="00BB27F8"/>
    <w:rsid w:val="00BC5332"/>
    <w:rsid w:val="00C04D1B"/>
    <w:rsid w:val="00C13270"/>
    <w:rsid w:val="00C32CA7"/>
    <w:rsid w:val="00C34CAD"/>
    <w:rsid w:val="00C73E43"/>
    <w:rsid w:val="00C7735C"/>
    <w:rsid w:val="00C844A2"/>
    <w:rsid w:val="00C87C5D"/>
    <w:rsid w:val="00CC5989"/>
    <w:rsid w:val="00CD0A56"/>
    <w:rsid w:val="00CE2280"/>
    <w:rsid w:val="00CE2694"/>
    <w:rsid w:val="00CE6B2B"/>
    <w:rsid w:val="00CE7F3E"/>
    <w:rsid w:val="00D00099"/>
    <w:rsid w:val="00D85386"/>
    <w:rsid w:val="00D8716D"/>
    <w:rsid w:val="00DB7E1A"/>
    <w:rsid w:val="00DC1306"/>
    <w:rsid w:val="00DC62AA"/>
    <w:rsid w:val="00E16C9B"/>
    <w:rsid w:val="00E2795C"/>
    <w:rsid w:val="00E45887"/>
    <w:rsid w:val="00E560DD"/>
    <w:rsid w:val="00E57179"/>
    <w:rsid w:val="00E76C96"/>
    <w:rsid w:val="00EC0C70"/>
    <w:rsid w:val="00EC12B7"/>
    <w:rsid w:val="00EC7896"/>
    <w:rsid w:val="00EE6353"/>
    <w:rsid w:val="00F0508B"/>
    <w:rsid w:val="00F06227"/>
    <w:rsid w:val="00F51E50"/>
    <w:rsid w:val="00F51E7D"/>
    <w:rsid w:val="00F556F6"/>
    <w:rsid w:val="00F74182"/>
    <w:rsid w:val="00F77412"/>
    <w:rsid w:val="00FB1935"/>
    <w:rsid w:val="00FC199A"/>
    <w:rsid w:val="00FD6B3F"/>
    <w:rsid w:val="00FE02EF"/>
    <w:rsid w:val="00FE077A"/>
    <w:rsid w:val="00FE646D"/>
    <w:rsid w:val="00FF32FA"/>
    <w:rsid w:val="00FF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794C7F"/>
  <w15:chartTrackingRefBased/>
  <w15:docId w15:val="{FD67CB4F-3068-4E13-9971-3C8DCA15F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CD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CD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CD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CD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CD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CD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CD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CD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CD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D1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CD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CD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D1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CD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D1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CD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D1C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4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43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A4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A4621"/>
    <w:rPr>
      <w:b/>
      <w:bCs/>
    </w:rPr>
  </w:style>
  <w:style w:type="table" w:styleId="TableGrid">
    <w:name w:val="Table Grid"/>
    <w:basedOn w:val="TableNormal"/>
    <w:uiPriority w:val="39"/>
    <w:rsid w:val="00BB2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6E0B5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6E0B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8538</TotalTime>
  <Pages>2</Pages>
  <Words>773</Words>
  <Characters>4901</Characters>
  <Application>Microsoft Office Word</Application>
  <DocSecurity>0</DocSecurity>
  <Lines>175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Sutvij Chavan</dc:creator>
  <cp:keywords/>
  <dc:description/>
  <cp:lastModifiedBy>Sutvij Chavan</cp:lastModifiedBy>
  <cp:revision>144</cp:revision>
  <dcterms:created xsi:type="dcterms:W3CDTF">2025-09-16T18:56:00Z</dcterms:created>
  <dcterms:modified xsi:type="dcterms:W3CDTF">2025-11-19T22:01:00Z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5860bc6d-eb1d-4fe5-aa13-1dfc311eb3d2</vt:lpwstr>
  </property>
</Properties>
</file>