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bCs/>
          <w:color w:val="2E75B6"/>
          <w:sz w:val="24"/>
          <w:szCs w:val="24"/>
        </w:rPr>
        <w:t xml:space="preserve">PROJECT REPORT</w:t>
      </w:r>
    </w:p>
    <w:p>
      <w:pPr>
        <w:spacing w:after="40" w:before="0"/>
        <w:jc w:val="center"/>
      </w:pPr>
      <w:r>
        <w:rPr>
          <w:rFonts w:ascii="Arial" w:cs="Arial" w:eastAsia="Arial" w:hAnsi="Arial"/>
          <w:b/>
          <w:bCs/>
          <w:color w:val="1F5C99"/>
          <w:sz w:val="56"/>
          <w:szCs w:val="56"/>
        </w:rPr>
        <w:t xml:space="preserve">GCP Cloud Cost Optimization</w:t>
      </w:r>
    </w:p>
    <w:p>
      <w:pPr>
        <w:spacing w:after="240" w:before="0"/>
        <w:jc w:val="center"/>
      </w:pPr>
      <w:r>
        <w:rPr>
          <w:rFonts w:ascii="Arial" w:cs="Arial" w:eastAsia="Arial" w:hAnsi="Arial"/>
          <w:color w:val="2E75B6"/>
          <w:sz w:val="30"/>
          <w:szCs w:val="30"/>
        </w:rPr>
        <w:t xml:space="preserve">Analytics Dashboard using Power BI &amp; BigQuery</w:t>
      </w:r>
    </w:p>
    <w:p>
      <w:pPr>
        <w:pBdr>
          <w:top w:val="single" w:color="1F5C99" w:sz="6"/>
          <w:bottom w:val="single" w:color="1F5C99" w:sz="6"/>
        </w:pBdr>
        <w:spacing w:after="320" w:before="0"/>
        <w:jc w:val="center"/>
      </w:pPr>
      <w:r>
        <w:rPr>
          <w:rFonts w:ascii="Arial" w:cs="Arial" w:eastAsia="Arial" w:hAnsi="Arial"/>
          <w:sz w:val="10"/>
          <w:szCs w:val="10"/>
        </w:rPr>
        <w:t xml:space="preserve"> </w:t>
      </w:r>
    </w:p>
    <w:p>
      <w:pPr>
        <w:spacing w:after="80" w:before="0"/>
        <w:jc w:val="center"/>
      </w:pPr>
      <w:r>
        <w:rPr>
          <w:rFonts w:ascii="Arial" w:cs="Arial" w:eastAsia="Arial" w:hAnsi="Arial"/>
          <w:color w:val="1A1A2E"/>
          <w:sz w:val="22"/>
          <w:szCs w:val="22"/>
        </w:rPr>
        <w:t xml:space="preserve">Domain: Cloud FinOps  |  Tool: Microsoft Power BI Desktop</w:t>
      </w:r>
    </w:p>
    <w:p>
      <w:pPr>
        <w:spacing w:after="80" w:before="0"/>
        <w:jc w:val="center"/>
      </w:pPr>
      <w:r>
        <w:rPr>
          <w:rFonts w:ascii="Arial" w:cs="Arial" w:eastAsia="Arial" w:hAnsi="Arial"/>
          <w:color w:val="1A1A2E"/>
          <w:sz w:val="22"/>
          <w:szCs w:val="22"/>
        </w:rPr>
        <w:t xml:space="preserve">Data Source: GCP Billing Export via Google BigQuery</w:t>
      </w:r>
    </w:p>
    <w:p>
      <w:pPr>
        <w:spacing w:after="400" w:before="0"/>
        <w:jc w:val="center"/>
      </w:pPr>
      <w:r>
        <w:rPr>
          <w:rFonts w:ascii="Arial" w:cs="Arial" w:eastAsia="Arial" w:hAnsi="Arial"/>
          <w:color w:val="1A1A2E"/>
          <w:sz w:val="22"/>
          <w:szCs w:val="22"/>
        </w:rPr>
        <w:t xml:space="preserve">Year: 2025 – 2026</w:t>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1. Project Title</w:t>
      </w:r>
    </w:p>
    <w:p>
      <w:pPr>
        <w:spacing w:after="60" w:before="80"/>
        <w:jc w:val="left"/>
      </w:pPr>
      <w:r>
        <w:rPr>
          <w:rFonts w:ascii="Arial" w:cs="Arial" w:eastAsia="Arial" w:hAnsi="Arial"/>
          <w:b/>
          <w:bCs/>
          <w:color w:val="1F5C99"/>
          <w:sz w:val="32"/>
          <w:szCs w:val="32"/>
        </w:rPr>
        <w:t xml:space="preserve">GCP Cloud Cost Optimization Analytics Dashboard</w:t>
      </w:r>
    </w:p>
    <w:p>
      <w:pPr>
        <w:spacing w:after="200" w:before="0"/>
      </w:pPr>
      <w:r>
        <w:rPr>
          <w:rFonts w:ascii="Arial" w:cs="Arial" w:eastAsia="Arial" w:hAnsi="Arial"/>
          <w:color w:val="2E75B6"/>
          <w:sz w:val="24"/>
          <w:szCs w:val="24"/>
        </w:rPr>
        <w:t xml:space="preserve">Using Microsoft Power BI Desktop &amp; Google BigQuery</w:t>
      </w:r>
    </w:p>
    <w:p>
      <w:pPr>
        <w:spacing w:after="0" w:before="80"/>
      </w:pPr>
      <w:r>
        <w:t xml:space="preserve"/>
      </w:r>
    </w:p>
    <w:p>
      <w:pPr>
        <w:pStyle w:val="Heading1"/>
        <w:pBdr>
          <w:bottom w:val="single" w:color="1F5C99" w:sz="8" w:space="4"/>
        </w:pBdr>
        <w:spacing w:after="160" w:before="320"/>
      </w:pPr>
      <w:r>
        <w:rPr>
          <w:rFonts w:ascii="Arial" w:cs="Arial" w:eastAsia="Arial" w:hAnsi="Arial"/>
          <w:b/>
          <w:bCs/>
          <w:color w:val="1F5C99"/>
          <w:sz w:val="32"/>
          <w:szCs w:val="32"/>
        </w:rPr>
        <w:t xml:space="preserve">2. Project Summary</w:t>
      </w:r>
    </w:p>
    <w:p>
      <w:pPr>
        <w:spacing w:after="60" w:before="60"/>
      </w:pPr>
      <w:r>
        <w:rPr>
          <w:rFonts w:ascii="Arial" w:cs="Arial" w:eastAsia="Arial" w:hAnsi="Arial"/>
          <w:b w:val="false"/>
          <w:bCs w:val="false"/>
          <w:color w:val="1A1A2E"/>
          <w:sz w:val="22"/>
          <w:szCs w:val="22"/>
        </w:rPr>
        <w:t xml:space="preserve">This end-to-end Business Intelligence project focuses on analyzing and optimizing cloud infrastructure spending on Google Cloud Platform (GCP). As organizations rapidly scale their cloud usage, uncontrolled costs, untagged resources, idle infrastructure, and budget overruns have become critical business risks.</w:t>
      </w:r>
    </w:p>
    <w:p>
      <w:pPr>
        <w:spacing w:after="60" w:before="60"/>
      </w:pPr>
      <w:r>
        <w:rPr>
          <w:rFonts w:ascii="Arial" w:cs="Arial" w:eastAsia="Arial" w:hAnsi="Arial"/>
          <w:b w:val="false"/>
          <w:bCs w:val="false"/>
          <w:color w:val="1A1A2E"/>
          <w:sz w:val="22"/>
          <w:szCs w:val="22"/>
        </w:rPr>
        <w:t xml:space="preserve">The project ingests real-world structured billing and networking data exported from GCP into Google BigQuery, connects it directly to Microsoft Power BI Desktop via the native BigQuery connector, applies a complete data cleaning and transformation pipeline in Power Query (M language), builds a production-grade star schema data model, and delivers a six-page interactive dashboard covering executive cost summaries, service-level breakdowns, team chargeback, idle resource identification, budget variance analysis, and anomaly detection.</w:t>
      </w:r>
    </w:p>
    <w:p>
      <w:pPr>
        <w:spacing w:after="60" w:before="60"/>
      </w:pPr>
      <w:r>
        <w:rPr>
          <w:rFonts w:ascii="Arial" w:cs="Arial" w:eastAsia="Arial" w:hAnsi="Arial"/>
          <w:b w:val="false"/>
          <w:bCs w:val="false"/>
          <w:color w:val="1A1A2E"/>
          <w:sz w:val="22"/>
          <w:szCs w:val="22"/>
        </w:rPr>
        <w:t xml:space="preserve">The dataset contains over 103,000 rows across five structured tables — Fact_Billing (62,000 rows), Fact_Networking (41,000 rows), Dim_Projects, Dim_SKU, and Dim_Date — representing enterprise-scale cloud spending across 80+ GCP projects, 5 global regions, 10 service categories, and 18 months of billing history.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8"/>
              <w:left w:val="single" w:color="1F5C99" w:sz="8"/>
              <w:bottom w:val="single" w:color="CBDAEB" w:sz="1"/>
              <w:right w:val="single" w:color="CBDAEB" w:sz="1"/>
            </w:tcBorders>
            <w:shd w:fill="E8F0FE"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Project at a Glance</w:t>
            </w:r>
          </w:p>
          <w:p>
            <w:pPr>
              <w:spacing w:after="0" w:before="0"/>
            </w:pPr>
            <w:r>
              <w:rPr>
                <w:rFonts w:ascii="Arial" w:cs="Arial" w:eastAsia="Arial" w:hAnsi="Arial"/>
                <w:color w:val="1A1A2E"/>
                <w:sz w:val="21"/>
                <w:szCs w:val="21"/>
              </w:rPr>
              <w:t xml:space="preserve">Tool: Power BI Desktop   |   Data Source: Google BigQuery   |   Dataset: 103,000+ rows   |   Dashboard Pages: 6   |   Date Range: Jan 2025 – Apr 2026   |   Domain: Cloud FinOps</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3. Introduction</w:t>
      </w:r>
    </w:p>
    <w:p>
      <w:pPr>
        <w:pStyle w:val="Heading2"/>
        <w:spacing w:after="100" w:before="240"/>
      </w:pPr>
      <w:r>
        <w:rPr>
          <w:rFonts w:ascii="Arial" w:cs="Arial" w:eastAsia="Arial" w:hAnsi="Arial"/>
          <w:b/>
          <w:bCs/>
          <w:color w:val="2E75B6"/>
          <w:sz w:val="26"/>
          <w:szCs w:val="26"/>
        </w:rPr>
        <w:t xml:space="preserve">3.1 Background</w:t>
      </w:r>
    </w:p>
    <w:p>
      <w:pPr>
        <w:spacing w:after="60" w:before="60"/>
      </w:pPr>
      <w:r>
        <w:rPr>
          <w:rFonts w:ascii="Arial" w:cs="Arial" w:eastAsia="Arial" w:hAnsi="Arial"/>
          <w:b w:val="false"/>
          <w:bCs w:val="false"/>
          <w:color w:val="1A1A2E"/>
          <w:sz w:val="22"/>
          <w:szCs w:val="22"/>
        </w:rPr>
        <w:t xml:space="preserve">Cloud computing has fundamentally transformed how organizations build and operate digital infrastructure. Google Cloud Platform (GCP) is one of the world's leading cloud providers, offering services ranging from virtual machines and managed databases to machine learning platforms and global networking.</w:t>
      </w:r>
    </w:p>
    <w:p>
      <w:pPr>
        <w:spacing w:after="60" w:before="60"/>
      </w:pPr>
      <w:r>
        <w:rPr>
          <w:rFonts w:ascii="Arial" w:cs="Arial" w:eastAsia="Arial" w:hAnsi="Arial"/>
          <w:b w:val="false"/>
          <w:bCs w:val="false"/>
          <w:color w:val="1A1A2E"/>
          <w:sz w:val="22"/>
          <w:szCs w:val="22"/>
        </w:rPr>
        <w:t xml:space="preserve">However, with the flexibility of cloud-on-demand comes a significant challenge: cost visibility and control. Unlike traditional on-premise infrastructure with fixed capital expenditures, cloud billing is dynamic — costs fluctuate daily based on usage, region, SKU pricing, and committed use discounts. Without proper monitoring and analytics, organizations face:</w:t>
      </w:r>
    </w:p>
    <w:p>
      <w:pPr>
        <w:pStyle w:val="ListParagraph"/>
        <w:numPr>
          <w:ilvl w:val="0"/>
          <w:numId w:val="2"/>
        </w:numPr>
        <w:spacing w:after="40" w:before="40"/>
      </w:pPr>
      <w:r>
        <w:rPr>
          <w:rFonts w:ascii="Arial" w:cs="Arial" w:eastAsia="Arial" w:hAnsi="Arial"/>
          <w:color w:val="1A1A2E"/>
          <w:sz w:val="22"/>
          <w:szCs w:val="22"/>
        </w:rPr>
        <w:t xml:space="preserve">Unexpected monthly billing spikes with no clear root cause</w:t>
      </w:r>
    </w:p>
    <w:p>
      <w:pPr>
        <w:pStyle w:val="ListParagraph"/>
        <w:numPr>
          <w:ilvl w:val="0"/>
          <w:numId w:val="2"/>
        </w:numPr>
        <w:spacing w:after="40" w:before="40"/>
      </w:pPr>
      <w:r>
        <w:rPr>
          <w:rFonts w:ascii="Arial" w:cs="Arial" w:eastAsia="Arial" w:hAnsi="Arial"/>
          <w:color w:val="1A1A2E"/>
          <w:sz w:val="22"/>
          <w:szCs w:val="22"/>
        </w:rPr>
        <w:t xml:space="preserve">Untagged or orphaned resources consuming budget silently</w:t>
      </w:r>
    </w:p>
    <w:p>
      <w:pPr>
        <w:pStyle w:val="ListParagraph"/>
        <w:numPr>
          <w:ilvl w:val="0"/>
          <w:numId w:val="2"/>
        </w:numPr>
        <w:spacing w:after="40" w:before="40"/>
      </w:pPr>
      <w:r>
        <w:rPr>
          <w:rFonts w:ascii="Arial" w:cs="Arial" w:eastAsia="Arial" w:hAnsi="Arial"/>
          <w:color w:val="1A1A2E"/>
          <w:sz w:val="22"/>
          <w:szCs w:val="22"/>
        </w:rPr>
        <w:t xml:space="preserve">Idle compute instances running 24/7 despite minimal utilization</w:t>
      </w:r>
    </w:p>
    <w:p>
      <w:pPr>
        <w:pStyle w:val="ListParagraph"/>
        <w:numPr>
          <w:ilvl w:val="0"/>
          <w:numId w:val="2"/>
        </w:numPr>
        <w:spacing w:after="40" w:before="40"/>
      </w:pPr>
      <w:r>
        <w:rPr>
          <w:rFonts w:ascii="Arial" w:cs="Arial" w:eastAsia="Arial" w:hAnsi="Arial"/>
          <w:color w:val="1A1A2E"/>
          <w:sz w:val="22"/>
          <w:szCs w:val="22"/>
        </w:rPr>
        <w:t xml:space="preserve">No team-level cost accountability or chargeback visibility</w:t>
      </w:r>
    </w:p>
    <w:p>
      <w:pPr>
        <w:pStyle w:val="ListParagraph"/>
        <w:numPr>
          <w:ilvl w:val="0"/>
          <w:numId w:val="2"/>
        </w:numPr>
        <w:spacing w:after="40" w:before="40"/>
      </w:pPr>
      <w:r>
        <w:rPr>
          <w:rFonts w:ascii="Arial" w:cs="Arial" w:eastAsia="Arial" w:hAnsi="Arial"/>
          <w:color w:val="1A1A2E"/>
          <w:sz w:val="22"/>
          <w:szCs w:val="22"/>
        </w:rPr>
        <w:t xml:space="preserve">Budget overruns identified only after the fact, not in real time</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3.2 What is Cloud FinOps?</w:t>
      </w:r>
    </w:p>
    <w:p>
      <w:pPr>
        <w:spacing w:after="60" w:before="60"/>
      </w:pPr>
      <w:r>
        <w:rPr>
          <w:rFonts w:ascii="Arial" w:cs="Arial" w:eastAsia="Arial" w:hAnsi="Arial"/>
          <w:b w:val="false"/>
          <w:bCs w:val="false"/>
          <w:color w:val="1A1A2E"/>
          <w:sz w:val="22"/>
          <w:szCs w:val="22"/>
        </w:rPr>
        <w:t xml:space="preserve">FinOps (Financial Operations) for cloud is a practice that brings financial accountability to the variable spend model of cloud. It combines engineering, finance, and business teams to make data-driven decisions about cloud spending. In 2026, FinOps is no longer optional — it is a strategic discipline practiced by leading technology organizations worldwide.</w:t>
      </w:r>
    </w:p>
    <w:p>
      <w:pPr>
        <w:spacing w:after="60" w:before="60"/>
      </w:pPr>
      <w:r>
        <w:rPr>
          <w:rFonts w:ascii="Arial" w:cs="Arial" w:eastAsia="Arial" w:hAnsi="Arial"/>
          <w:b w:val="false"/>
          <w:bCs w:val="false"/>
          <w:color w:val="1A1A2E"/>
          <w:sz w:val="22"/>
          <w:szCs w:val="22"/>
        </w:rPr>
        <w:t xml:space="preserve">This project directly implements core FinOps principles: real-time cost visibility, chargeback/showback reporting, anomaly detection, idle resource identification, and budget forecasting — all delivered through an interactive Power BI dashboard connected live to BigQuery.</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3.3 Why Power BI + BigQuery?</w:t>
      </w:r>
    </w:p>
    <w:p>
      <w:pPr>
        <w:spacing w:after="60" w:before="60"/>
      </w:pPr>
      <w:r>
        <w:rPr>
          <w:rFonts w:ascii="Arial" w:cs="Arial" w:eastAsia="Arial" w:hAnsi="Arial"/>
          <w:b w:val="false"/>
          <w:bCs w:val="false"/>
          <w:color w:val="1A1A2E"/>
          <w:sz w:val="22"/>
          <w:szCs w:val="22"/>
        </w:rPr>
        <w:t xml:space="preserve">The combination of Power BI Desktop and Google BigQuery was chosen for the following strategic reasons: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Reason</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Explanation</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Native BigQuery Connector</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Power BI Desktop has a built-in BigQuery connector — no middleware or CSV exports needed. Direct SQL queries run inside Power Query.</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Enterprise-Scale Data</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BigQuery handles billions of rows. Connecting Power BI to BigQuery via query folding means only aggregated data is loaded, keeping the model fast.</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Real-World Pipeline</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GCP Billing Export → BigQuery is Google's officially recommended FinOps pipeline. This project replicates it exactly.</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SQL + BI Dual Skills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Writing optimized SQL in Power Query alongside DAX in Power BI demonstrates two in-demand data skills in a single project.</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Cost-Free for Portfolio</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GCP offers $300 free credits and BigQuery's free tier (10 GB storage, 1 TB queries/month) covers the full project at zero cost.</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Portfolio Credibility</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Recruiters and hiring managers recognize BigQuery as production-grade infrastructure — it signals the project is industry-relevant, not academic.</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4. Project Objectives</w:t>
      </w:r>
    </w:p>
    <w:p>
      <w:pPr>
        <w:spacing w:after="60" w:before="60"/>
      </w:pPr>
      <w:r>
        <w:rPr>
          <w:rFonts w:ascii="Arial" w:cs="Arial" w:eastAsia="Arial" w:hAnsi="Arial"/>
          <w:b w:val="false"/>
          <w:bCs w:val="false"/>
          <w:color w:val="1A1A2E"/>
          <w:sz w:val="22"/>
          <w:szCs w:val="22"/>
        </w:rPr>
        <w:t xml:space="preserve">This project is designed to achieve the following primary and secondary objectives:</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4.1 Primary Objectives</w:t>
      </w:r>
    </w:p>
    <w:p>
      <w:pPr>
        <w:pStyle w:val="ListParagraph"/>
        <w:numPr>
          <w:ilvl w:val="0"/>
          <w:numId w:val="3"/>
        </w:numPr>
        <w:spacing w:after="40" w:before="40"/>
      </w:pPr>
      <w:r>
        <w:rPr>
          <w:rFonts w:ascii="Arial" w:cs="Arial" w:eastAsia="Arial" w:hAnsi="Arial"/>
          <w:color w:val="1A1A2E"/>
          <w:sz w:val="22"/>
          <w:szCs w:val="22"/>
        </w:rPr>
        <w:t xml:space="preserve">Build a production-grade GCP cost analytics dashboard in Power BI Desktop that mirrors what a real FinOps team uses.</w:t>
      </w:r>
    </w:p>
    <w:p>
      <w:pPr>
        <w:pStyle w:val="ListParagraph"/>
        <w:numPr>
          <w:ilvl w:val="0"/>
          <w:numId w:val="3"/>
        </w:numPr>
        <w:spacing w:after="40" w:before="40"/>
      </w:pPr>
      <w:r>
        <w:rPr>
          <w:rFonts w:ascii="Arial" w:cs="Arial" w:eastAsia="Arial" w:hAnsi="Arial"/>
          <w:color w:val="1A1A2E"/>
          <w:sz w:val="22"/>
          <w:szCs w:val="22"/>
        </w:rPr>
        <w:t xml:space="preserve">Connect Power BI directly to Google BigQuery using the native connector and write optimized SQL queries inside Power Query.</w:t>
      </w:r>
    </w:p>
    <w:p>
      <w:pPr>
        <w:pStyle w:val="ListParagraph"/>
        <w:numPr>
          <w:ilvl w:val="0"/>
          <w:numId w:val="3"/>
        </w:numPr>
        <w:spacing w:after="40" w:before="40"/>
      </w:pPr>
      <w:r>
        <w:rPr>
          <w:rFonts w:ascii="Arial" w:cs="Arial" w:eastAsia="Arial" w:hAnsi="Arial"/>
          <w:color w:val="1A1A2E"/>
          <w:sz w:val="22"/>
          <w:szCs w:val="22"/>
        </w:rPr>
        <w:t xml:space="preserve">Design and implement a clean star schema data model with proper relationships between fact and dimension tables.</w:t>
      </w:r>
    </w:p>
    <w:p>
      <w:pPr>
        <w:pStyle w:val="ListParagraph"/>
        <w:numPr>
          <w:ilvl w:val="0"/>
          <w:numId w:val="3"/>
        </w:numPr>
        <w:spacing w:after="40" w:before="40"/>
      </w:pPr>
      <w:r>
        <w:rPr>
          <w:rFonts w:ascii="Arial" w:cs="Arial" w:eastAsia="Arial" w:hAnsi="Arial"/>
          <w:color w:val="1A1A2E"/>
          <w:sz w:val="22"/>
          <w:szCs w:val="22"/>
        </w:rPr>
        <w:t xml:space="preserve">Develop a complete Power Query (M language) data cleaning pipeline handling date inconsistencies, null values, whitespace errors, and categorical label mismatches.</w:t>
      </w:r>
    </w:p>
    <w:p>
      <w:pPr>
        <w:pStyle w:val="ListParagraph"/>
        <w:numPr>
          <w:ilvl w:val="0"/>
          <w:numId w:val="3"/>
        </w:numPr>
        <w:spacing w:after="40" w:before="40"/>
      </w:pPr>
      <w:r>
        <w:rPr>
          <w:rFonts w:ascii="Arial" w:cs="Arial" w:eastAsia="Arial" w:hAnsi="Arial"/>
          <w:color w:val="1A1A2E"/>
          <w:sz w:val="22"/>
          <w:szCs w:val="22"/>
        </w:rPr>
        <w:t xml:space="preserve">Create 15+ DAX measures covering total cost, MoM % change, budget utilization, rolling averages, and anomaly detection flags.</w:t>
      </w:r>
    </w:p>
    <w:p>
      <w:pPr>
        <w:pStyle w:val="ListParagraph"/>
        <w:numPr>
          <w:ilvl w:val="0"/>
          <w:numId w:val="3"/>
        </w:numPr>
        <w:spacing w:after="40" w:before="40"/>
      </w:pPr>
      <w:r>
        <w:rPr>
          <w:rFonts w:ascii="Arial" w:cs="Arial" w:eastAsia="Arial" w:hAnsi="Arial"/>
          <w:color w:val="1A1A2E"/>
          <w:sz w:val="22"/>
          <w:szCs w:val="22"/>
        </w:rPr>
        <w:t xml:space="preserve">Deliver six report pages addressing distinct FinOps use cases: executive summary, service breakdown, team chargeback, idle resources, budget vs actual, and anomaly detection.</w:t>
      </w:r>
    </w:p>
    <w:p>
      <w:pPr>
        <w:spacing w:after="0" w:before="80"/>
      </w:pPr>
      <w:r>
        <w:t xml:space="preserve"/>
      </w:r>
    </w:p>
    <w:p>
      <w:pPr>
        <w:pStyle w:val="Heading2"/>
        <w:spacing w:after="100" w:before="240"/>
      </w:pPr>
      <w:r>
        <w:rPr>
          <w:rFonts w:ascii="Arial" w:cs="Arial" w:eastAsia="Arial" w:hAnsi="Arial"/>
          <w:b/>
          <w:bCs/>
          <w:color w:val="2E75B6"/>
          <w:sz w:val="26"/>
          <w:szCs w:val="26"/>
        </w:rPr>
        <w:t xml:space="preserve">4.2 Secondary Objectives</w:t>
      </w:r>
    </w:p>
    <w:p>
      <w:pPr>
        <w:pStyle w:val="ListParagraph"/>
        <w:numPr>
          <w:ilvl w:val="0"/>
          <w:numId w:val="2"/>
        </w:numPr>
        <w:spacing w:after="40" w:before="40"/>
      </w:pPr>
      <w:r>
        <w:rPr>
          <w:rFonts w:ascii="Arial" w:cs="Arial" w:eastAsia="Arial" w:hAnsi="Arial"/>
          <w:color w:val="1A1A2E"/>
          <w:sz w:val="22"/>
          <w:szCs w:val="22"/>
        </w:rPr>
        <w:t xml:space="preserve">Demonstrate intentional data quality issues and their systematic resolution to showcase data auditing skills.</w:t>
      </w:r>
    </w:p>
    <w:p>
      <w:pPr>
        <w:pStyle w:val="ListParagraph"/>
        <w:numPr>
          <w:ilvl w:val="0"/>
          <w:numId w:val="2"/>
        </w:numPr>
        <w:spacing w:after="40" w:before="40"/>
      </w:pPr>
      <w:r>
        <w:rPr>
          <w:rFonts w:ascii="Arial" w:cs="Arial" w:eastAsia="Arial" w:hAnsi="Arial"/>
          <w:color w:val="1A1A2E"/>
          <w:sz w:val="22"/>
          <w:szCs w:val="22"/>
        </w:rPr>
        <w:t xml:space="preserve">Document all Power Query steps with inline comments explaining the business reason for each transformation.</w:t>
      </w:r>
    </w:p>
    <w:p>
      <w:pPr>
        <w:pStyle w:val="ListParagraph"/>
        <w:numPr>
          <w:ilvl w:val="0"/>
          <w:numId w:val="2"/>
        </w:numPr>
        <w:spacing w:after="40" w:before="40"/>
      </w:pPr>
      <w:r>
        <w:rPr>
          <w:rFonts w:ascii="Arial" w:cs="Arial" w:eastAsia="Arial" w:hAnsi="Arial"/>
          <w:color w:val="1A1A2E"/>
          <w:sz w:val="22"/>
          <w:szCs w:val="22"/>
        </w:rPr>
        <w:t xml:space="preserve">Use advanced Power BI features: drill-through, bookmarks, field parameters, dynamic titles, and conditional formatting.</w:t>
      </w:r>
    </w:p>
    <w:p>
      <w:pPr>
        <w:pStyle w:val="ListParagraph"/>
        <w:numPr>
          <w:ilvl w:val="0"/>
          <w:numId w:val="2"/>
        </w:numPr>
        <w:spacing w:after="40" w:before="40"/>
      </w:pPr>
      <w:r>
        <w:rPr>
          <w:rFonts w:ascii="Arial" w:cs="Arial" w:eastAsia="Arial" w:hAnsi="Arial"/>
          <w:color w:val="1A1A2E"/>
          <w:sz w:val="22"/>
          <w:szCs w:val="22"/>
        </w:rPr>
        <w:t xml:space="preserve">Create a reusable .pbix project file that can be connected to any GCP billing dataset with minimal reconfiguration.</w:t>
      </w:r>
    </w:p>
    <w:p>
      <w:pPr>
        <w:pStyle w:val="ListParagraph"/>
        <w:numPr>
          <w:ilvl w:val="0"/>
          <w:numId w:val="2"/>
        </w:numPr>
        <w:spacing w:after="40" w:before="40"/>
      </w:pPr>
      <w:r>
        <w:rPr>
          <w:rFonts w:ascii="Arial" w:cs="Arial" w:eastAsia="Arial" w:hAnsi="Arial"/>
          <w:color w:val="1A1A2E"/>
          <w:sz w:val="22"/>
          <w:szCs w:val="22"/>
        </w:rPr>
        <w:t xml:space="preserve">Produce portfolio-ready documentation that can be presented to recruiters, interviewers, and data teams.</w:t>
      </w:r>
    </w:p>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5. Problem Statement</w:t>
      </w:r>
    </w:p>
    <w:p>
      <w:pPr>
        <w:spacing w:after="60" w:before="60"/>
      </w:pPr>
      <w:r>
        <w:rPr>
          <w:rFonts w:ascii="Arial" w:cs="Arial" w:eastAsia="Arial" w:hAnsi="Arial"/>
          <w:b w:val="false"/>
          <w:bCs w:val="false"/>
          <w:color w:val="1A1A2E"/>
          <w:sz w:val="22"/>
          <w:szCs w:val="22"/>
        </w:rPr>
        <w:t xml:space="preserve">The IT and cloud infrastructure sector in 2026 faces a critical challenge: organizations are spending more on cloud than ever before, yet a significant portion of that spending is wasteful, untracked, or invisible to decision-makers. Specific problems addressed in this project include: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Problem</w:t>
            </w:r>
          </w:p>
        </w:tc>
        <w:tc>
          <w:tcPr>
            <w:tcW w:type="dxa" w:w="4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Description</w:t>
            </w:r>
          </w:p>
        </w:tc>
        <w:tc>
          <w:tcPr>
            <w:tcW w:type="dxa" w:w="26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Business Impact</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cost visibility</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 billing data lives in raw GCP logs with no visualization layer. Finance teams cannot easily see where money is going.</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Budget overruns, missed savings</w:t>
            </w:r>
          </w:p>
        </w:tc>
      </w:tr>
      <w:tr>
        <w:tc>
          <w:tcPr>
            <w:tcW w:type="dxa" w:w="24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Untagged resources</w:t>
            </w:r>
          </w:p>
        </w:tc>
        <w:tc>
          <w:tcPr>
            <w:tcW w:type="dxa" w:w="4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1,029 billing rows (~1.7%) have no Project_ID, meaning costs cannot be attributed to any team or project.</w:t>
            </w:r>
          </w:p>
        </w:tc>
        <w:tc>
          <w:tcPr>
            <w:tcW w:type="dxa" w:w="26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No accountability, impossible chargeback</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Unknown SKUs</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2,008 rows have SKU_ID = 'NA', making it impossible to identify which GCP service generated those costs.</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Blind spots in cost optimization</w:t>
            </w:r>
          </w:p>
        </w:tc>
      </w:tr>
      <w:tr>
        <w:tc>
          <w:tcPr>
            <w:tcW w:type="dxa" w:w="24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Idle infrastructure</w:t>
            </w:r>
          </w:p>
        </w:tc>
        <w:tc>
          <w:tcPr>
            <w:tcW w:type="dxa" w:w="4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Compute instances, unattached disks, and low-traffic load balancers continue running 24/7 despite minimal or zero usage.</w:t>
            </w:r>
          </w:p>
        </w:tc>
        <w:tc>
          <w:tcPr>
            <w:tcW w:type="dxa" w:w="26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Direct monetary waste, up to 30% of cloud bills</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 budget tracking</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Teams have no real-time view of how their actual spending compares against allocated budgets until month-end invoices arrive.</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Reactive not proactive cost management</w:t>
            </w:r>
          </w:p>
        </w:tc>
      </w:tr>
      <w:tr>
        <w:tc>
          <w:tcPr>
            <w:tcW w:type="dxa" w:w="24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Anomalous cost spikes</w:t>
            </w:r>
          </w:p>
        </w:tc>
        <w:tc>
          <w:tcPr>
            <w:tcW w:type="dxa" w:w="4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Daily cost spikes of 20–40% above rolling averages go undetected for days, leading to unexpectedly high monthly bills.</w:t>
            </w:r>
          </w:p>
        </w:tc>
        <w:tc>
          <w:tcPr>
            <w:tcW w:type="dxa" w:w="26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Financial risk, delayed incident response</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Data quality issues</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Mixed date formats, inconsistent environment labels (dev/Development, PROD/Production), and whitespace in SKU categories corrupt aggregations.</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Wrong totals, misleading dashboards</w:t>
            </w:r>
          </w:p>
        </w:tc>
      </w:tr>
      <w:tr>
        <w:tc>
          <w:tcPr>
            <w:tcW w:type="dxa" w:w="24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No network cost visibility</w:t>
            </w:r>
          </w:p>
        </w:tc>
        <w:tc>
          <w:tcPr>
            <w:tcW w:type="dxa" w:w="4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41,000+ rows of network egress, inter-region transfer, and Cloud NAT costs are tracked separately with no unified view.</w:t>
            </w:r>
          </w:p>
        </w:tc>
        <w:tc>
          <w:tcPr>
            <w:tcW w:type="dxa" w:w="26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Underestimated true cost of distributed architecture</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6. Technologies Used</w:t>
      </w:r>
    </w:p>
    <w:p>
      <w:pPr>
        <w:spacing w:after="0" w:before="60"/>
      </w:pPr>
      <w:r>
        <w:t xml:space="preserve"/>
      </w:r>
    </w:p>
    <w:p>
      <w:pPr>
        <w:pStyle w:val="Heading2"/>
        <w:spacing w:after="100" w:before="240"/>
      </w:pPr>
      <w:r>
        <w:rPr>
          <w:rFonts w:ascii="Arial" w:cs="Arial" w:eastAsia="Arial" w:hAnsi="Arial"/>
          <w:b/>
          <w:bCs/>
          <w:color w:val="2E75B6"/>
          <w:sz w:val="26"/>
          <w:szCs w:val="26"/>
        </w:rPr>
        <w:t xml:space="preserve">6.1 Core Tools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Technology</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Role in the Project</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Microsoft Power BI Desktop</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Primary BI tool for data modeling, DAX measure development, and dashboard creation. All report pages built here.</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BigQuery</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 data warehouse storing GCP Billing Export data. Power BI connects directly via native connector.</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Power Query (M Language)</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ETL layer inside Power BI. Used for all data cleaning, transformation, type setting, and calculated column additions.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DAX (Data Analysis Expressions)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Formula language for all KPI measures: totals, MoM%, budget variance, rolling averages, anomaly flags.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Google Cloud Platform (GCP)</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Source cloud environment. GCP Billing Export automatically streams daily cost data to BigQuery.</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Microsoft Excel (.xlsx)</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Used as the local dataset format for development and testing before connecting to live BigQuery.</w:t>
            </w:r>
          </w:p>
        </w:tc>
      </w:tr>
    </w:tbl>
    <w:p>
      <w:pPr>
        <w:spacing w:after="0" w:before="100"/>
      </w:pPr>
      <w:r>
        <w:t xml:space="preserve"/>
      </w:r>
    </w:p>
    <w:p>
      <w:pPr>
        <w:pStyle w:val="Heading2"/>
        <w:spacing w:after="100" w:before="240"/>
      </w:pPr>
      <w:r>
        <w:rPr>
          <w:rFonts w:ascii="Arial" w:cs="Arial" w:eastAsia="Arial" w:hAnsi="Arial"/>
          <w:b/>
          <w:bCs/>
          <w:color w:val="2E75B6"/>
          <w:sz w:val="26"/>
          <w:szCs w:val="26"/>
        </w:rPr>
        <w:t xml:space="preserve">6.2 GCP Services Covered in the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GCP Service</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Description</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Compute Engine</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Virtual machine instances — the largest cost driver in most GCP environments.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 Storage (GCS)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Object storage for data, backups, and static assets.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BigQuery</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Serverless data warehouse for analytics — billed per query and storage.</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 SQL</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Managed relational database service (MySQL, PostgreSQL, SQL Server).</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Cloud Run</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Serverless container execution platform — billed per request and CPU.</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Vertex AI</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Machine learning platform for model training and inference.</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Pub/Sub</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Asynchronous messaging service for event-driven architectures.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Networking</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Egress, inter-region data transfer, Cloud NAT, and Load Balancing costs.</w:t>
            </w:r>
          </w:p>
        </w:tc>
      </w:tr>
    </w:tbl>
    <w:p>
      <w:pPr>
        <w:spacing w:after="0" w:before="100"/>
      </w:pPr>
      <w:r>
        <w:t xml:space="preserve"/>
      </w:r>
    </w:p>
    <w:p>
      <w:pPr>
        <w:pStyle w:val="Heading2"/>
        <w:spacing w:after="100" w:before="240"/>
      </w:pPr>
      <w:r>
        <w:rPr>
          <w:rFonts w:ascii="Arial" w:cs="Arial" w:eastAsia="Arial" w:hAnsi="Arial"/>
          <w:b/>
          <w:bCs/>
          <w:color w:val="2E75B6"/>
          <w:sz w:val="26"/>
          <w:szCs w:val="26"/>
        </w:rPr>
        <w:t xml:space="preserve">6.3 Power BI Features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Feature</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Applied In</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Star Schema Data Model</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 tables with defined one-to-many relationships across fact and dimension tables.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Power Query (Advanced Editor)</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M code for cleaning all 5 tables with documented transformation steps.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DAX Measures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15+ measures for cost KPIs, time intelligence, budget tracking, and anomaly detection.</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Drill-Through Pages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Right-click from any visual to drill into project-level or service-level detail pages.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Bookmarks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Toggle between chart views (e.g., treemap vs. bar chart) without changing the page.</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Conditional Formatting</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Red/amber/green color rules on budget utilization and anomaly flag columns.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Dynamic Titles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Report page titles update based on active slicer selection using DAX SELECTEDVALUE().</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Field Parameters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Allow users to switch the metric axis (Gross Cost vs Net Cost vs Usage Amount) dynamically.</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Slicers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Date range, Region, Environment, Department, and Service Category filters on every page.</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7. Dataset Overview</w:t>
      </w:r>
    </w:p>
    <w:p>
      <w:pPr>
        <w:spacing w:after="60" w:before="60"/>
      </w:pPr>
      <w:r>
        <w:rPr>
          <w:rFonts w:ascii="Arial" w:cs="Arial" w:eastAsia="Arial" w:hAnsi="Arial"/>
          <w:b w:val="false"/>
          <w:bCs w:val="false"/>
          <w:color w:val="1A1A2E"/>
          <w:sz w:val="22"/>
          <w:szCs w:val="22"/>
        </w:rPr>
        <w:t xml:space="preserve">The dataset was purpose-built to simulate a real GCP Billing Export, structured as a star schema with five tables: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Table Name</w:t>
            </w:r>
          </w:p>
        </w:tc>
        <w:tc>
          <w:tcPr>
            <w:tcW w:type="dxa" w:w="4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Description</w:t>
            </w:r>
          </w:p>
        </w:tc>
        <w:tc>
          <w:tcPr>
            <w:tcW w:type="dxa" w:w="26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Row Count</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Fact_Billing</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Core billing facts: daily cost per project, SKU, region with gross cost, credits, and usage amount.</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62,000 rows</w:t>
            </w:r>
          </w:p>
        </w:tc>
      </w:tr>
      <w:tr>
        <w:tc>
          <w:tcPr>
            <w:tcW w:type="dxa" w:w="24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Fact_Networking</w:t>
            </w:r>
          </w:p>
        </w:tc>
        <w:tc>
          <w:tcPr>
            <w:tcW w:type="dxa" w:w="4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Network transfer costs: egress, inter-region, Cloud NAT, and Load Balancing charges by project and region.</w:t>
            </w:r>
          </w:p>
        </w:tc>
        <w:tc>
          <w:tcPr>
            <w:tcW w:type="dxa" w:w="26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41,000 rows</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Dim_Projects</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Project master: Project ID, name, owning department, and environment (Production/Staging/Dev/Sandbox).</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82 rows</w:t>
            </w:r>
          </w:p>
        </w:tc>
      </w:tr>
      <w:tr>
        <w:tc>
          <w:tcPr>
            <w:tcW w:type="dxa" w:w="24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Dim_SKU</w:t>
            </w:r>
          </w:p>
        </w:tc>
        <w:tc>
          <w:tcPr>
            <w:tcW w:type="dxa" w:w="4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SKU master: SKU ID, GCP service category (Compute, BigQuery, etc.), and description.</w:t>
            </w:r>
          </w:p>
        </w:tc>
        <w:tc>
          <w:tcPr>
            <w:tcW w:type="dxa" w:w="26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31 rows</w:t>
            </w:r>
          </w:p>
        </w:tc>
      </w:tr>
      <w:tr>
        <w:tc>
          <w:tcPr>
            <w:tcW w:type="dxa" w:w="24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Dim_Date</w:t>
            </w:r>
          </w:p>
        </w:tc>
        <w:tc>
          <w:tcPr>
            <w:tcW w:type="dxa" w:w="4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Date dimension: full calendar from Jan 2025 to Apr 2026 with year, month, quarter, and quarter label.</w:t>
            </w:r>
          </w:p>
        </w:tc>
        <w:tc>
          <w:tcPr>
            <w:tcW w:type="dxa" w:w="26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500 rows</w:t>
            </w:r>
          </w:p>
        </w:tc>
      </w:tr>
    </w:tbl>
    <w:p>
      <w:pPr>
        <w:spacing w:after="0" w:before="80"/>
      </w:pPr>
      <w:r>
        <w:t xml:space="preserve"/>
      </w:r>
    </w:p>
    <w:p>
      <w:pPr>
        <w:pStyle w:val="Heading2"/>
        <w:spacing w:after="100" w:before="240"/>
      </w:pPr>
      <w:r>
        <w:rPr>
          <w:rFonts w:ascii="Arial" w:cs="Arial" w:eastAsia="Arial" w:hAnsi="Arial"/>
          <w:b/>
          <w:bCs/>
          <w:color w:val="2E75B6"/>
          <w:sz w:val="26"/>
          <w:szCs w:val="26"/>
        </w:rPr>
        <w:t xml:space="preserve">7.1 Intentional Data Quality Issues</w:t>
      </w:r>
    </w:p>
    <w:p>
      <w:pPr>
        <w:spacing w:after="60" w:before="60"/>
      </w:pPr>
      <w:r>
        <w:rPr>
          <w:rFonts w:ascii="Arial" w:cs="Arial" w:eastAsia="Arial" w:hAnsi="Arial"/>
          <w:b w:val="false"/>
          <w:bCs w:val="false"/>
          <w:color w:val="1A1A2E"/>
          <w:sz w:val="22"/>
          <w:szCs w:val="22"/>
        </w:rPr>
        <w:t xml:space="preserve">Six realistic data quality issues were deliberately introduced to demonstrate a complete data auditing and cleaning workflow: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Issue</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Resolution Applied in Power Query</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Mixed date formats: DD/MM/YYYY vs ISO (516 rows)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try-otherwise pattern with Date.FromText for DD/MM/YYYY and Date.From() for ISO format.</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Null Project_ID (1,029 rows)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Replaced with 'Untagged' — mirrors real untagged GCP resources, used as a dashboard insight.</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SKU_ID = 'NA' (2,008 rows)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Replaced with 'Unknown SKU' — allows outer join to Dim_SKU without broken relationships.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Leading/trailing whitespace in Service_Category</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Text.Trim applied to Dim_SKU — prevents '  BigQuery ' from being treated as a separate category.</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Inconsistent Environment labels (dev/PROD)</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Normalized via if-then-else: dev → Development, PROD → Production.</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Null Department in Dim_Projects (6 rows)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Replaced with 'Unassigned' — prevents blank slicers in the chargeback page.</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8. Solution Architecture &amp; Approach</w:t>
      </w:r>
    </w:p>
    <w:p>
      <w:pPr>
        <w:pStyle w:val="Heading2"/>
        <w:spacing w:after="100" w:before="240"/>
      </w:pPr>
      <w:r>
        <w:rPr>
          <w:rFonts w:ascii="Arial" w:cs="Arial" w:eastAsia="Arial" w:hAnsi="Arial"/>
          <w:b/>
          <w:bCs/>
          <w:color w:val="2E75B6"/>
          <w:sz w:val="26"/>
          <w:szCs w:val="26"/>
        </w:rPr>
        <w:t xml:space="preserve">8.1 End-to-End Data Pipeline</w:t>
      </w:r>
    </w:p>
    <w:p>
      <w:pPr>
        <w:spacing w:after="60" w:before="60"/>
      </w:pPr>
      <w:r>
        <w:rPr>
          <w:rFonts w:ascii="Arial" w:cs="Arial" w:eastAsia="Arial" w:hAnsi="Arial"/>
          <w:b w:val="false"/>
          <w:bCs w:val="false"/>
          <w:color w:val="1A1A2E"/>
          <w:sz w:val="22"/>
          <w:szCs w:val="22"/>
        </w:rPr>
        <w:t xml:space="preserve">The project follows a structured five-phase pipeline from raw data to interactive 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Phase</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Description</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1: Data Source</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GCP Billing Export streams daily cost data to BigQuery. Power BI Desktop connects via the native BigQuery connector. For local development, the Excel dataset (.xlsx) replicates the same schema.</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2: Power Query (ETL)</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five tables are loaded and cleaned in Power Query using M code. Date normalization, null handling, whitespace trimming, label standardization, and calculated column additions are applied with inline comments.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3: Data Modeling</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 star schema is built in Power BI Model View with relationships: Fact_Billing → Dim_Date (Date), Fact_Billing → Dim_Projects (Project_ID), Fact_Billing → Dim_SKU (SKU_ID), Fact_Networking → Dim_Date, Fact_Networking → Dim_Projects.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4: DAX Measures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15+ DAX measures are built in a dedicated 'Measures' table covering: Total Cost MTD, Previous Month Cost, MoM % Change, Budget Utilization %, 7-Day Rolling Average, Net Cost, Cost per GB, Anomaly Flag, and more.</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Phase 5: Dashboard (6 Pages)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Six report pages are designed with consistent branding, cross-page slicers, drill-through navigation, conditional formatting, bookmarks, and dynamic titles.</w:t>
            </w:r>
          </w:p>
        </w:tc>
      </w:tr>
    </w:tbl>
    <w:p>
      <w:pPr>
        <w:spacing w:after="0" w:before="100"/>
      </w:pPr>
      <w:r>
        <w:t xml:space="preserve"/>
      </w:r>
    </w:p>
    <w:p>
      <w:pPr>
        <w:pStyle w:val="Heading2"/>
        <w:spacing w:after="100" w:before="240"/>
      </w:pPr>
      <w:r>
        <w:rPr>
          <w:rFonts w:ascii="Arial" w:cs="Arial" w:eastAsia="Arial" w:hAnsi="Arial"/>
          <w:b/>
          <w:bCs/>
          <w:color w:val="2E75B6"/>
          <w:sz w:val="26"/>
          <w:szCs w:val="26"/>
        </w:rPr>
        <w:t xml:space="preserve">8.2 Dashboard Pages &amp; Solutions Delivered</w:t>
      </w:r>
    </w:p>
    <w:p>
      <w:pPr>
        <w:spacing w:after="0" w:before="60"/>
      </w:pPr>
      <w:r>
        <w:t xml:space="preserve"/>
      </w:r>
    </w:p>
    <w:p>
      <w:pPr>
        <w:pStyle w:val="Heading3"/>
        <w:spacing w:after="80" w:before="180"/>
      </w:pPr>
      <w:r>
        <w:rPr>
          <w:rFonts w:ascii="Arial" w:cs="Arial" w:eastAsia="Arial" w:hAnsi="Arial"/>
          <w:b/>
          <w:bCs/>
          <w:color w:val="1A1A2E"/>
          <w:sz w:val="22"/>
          <w:szCs w:val="22"/>
        </w:rPr>
        <w:t xml:space="preserve">Page 1: Executive Summary</w:t>
      </w:r>
    </w:p>
    <w:p>
      <w:pPr>
        <w:spacing w:after="60" w:before="60"/>
      </w:pPr>
      <w:r>
        <w:rPr>
          <w:rFonts w:ascii="Arial" w:cs="Arial" w:eastAsia="Arial" w:hAnsi="Arial"/>
          <w:b w:val="false"/>
          <w:bCs w:val="false"/>
          <w:color w:val="1A1A2E"/>
          <w:sz w:val="22"/>
          <w:szCs w:val="22"/>
        </w:rPr>
        <w:t xml:space="preserve">Audience: CTO, CFO, IT Management</w:t>
      </w:r>
    </w:p>
    <w:p>
      <w:pPr>
        <w:pStyle w:val="ListParagraph"/>
        <w:numPr>
          <w:ilvl w:val="0"/>
          <w:numId w:val="2"/>
        </w:numPr>
        <w:spacing w:after="40" w:before="40"/>
      </w:pPr>
      <w:r>
        <w:rPr>
          <w:rFonts w:ascii="Arial" w:cs="Arial" w:eastAsia="Arial" w:hAnsi="Arial"/>
          <w:color w:val="1A1A2E"/>
          <w:sz w:val="22"/>
          <w:szCs w:val="22"/>
        </w:rPr>
        <w:t xml:space="preserve">Total GCP spend (MTD), previous month comparison, and MoM % change KPI cards.</w:t>
      </w:r>
    </w:p>
    <w:p>
      <w:pPr>
        <w:pStyle w:val="ListParagraph"/>
        <w:numPr>
          <w:ilvl w:val="0"/>
          <w:numId w:val="2"/>
        </w:numPr>
        <w:spacing w:after="40" w:before="40"/>
      </w:pPr>
      <w:r>
        <w:rPr>
          <w:rFonts w:ascii="Arial" w:cs="Arial" w:eastAsia="Arial" w:hAnsi="Arial"/>
          <w:color w:val="1A1A2E"/>
          <w:sz w:val="22"/>
          <w:szCs w:val="22"/>
        </w:rPr>
        <w:t xml:space="preserve">12-month cost trend line chart with forecast extension.</w:t>
      </w:r>
    </w:p>
    <w:p>
      <w:pPr>
        <w:pStyle w:val="ListParagraph"/>
        <w:numPr>
          <w:ilvl w:val="0"/>
          <w:numId w:val="2"/>
        </w:numPr>
        <w:spacing w:after="40" w:before="40"/>
      </w:pPr>
      <w:r>
        <w:rPr>
          <w:rFonts w:ascii="Arial" w:cs="Arial" w:eastAsia="Arial" w:hAnsi="Arial"/>
          <w:color w:val="1A1A2E"/>
          <w:sz w:val="22"/>
          <w:szCs w:val="22"/>
        </w:rPr>
        <w:t xml:space="preserve">Top 5 cost-driving GCP services — bar chart with conditional formatting.</w:t>
      </w:r>
    </w:p>
    <w:p>
      <w:pPr>
        <w:pStyle w:val="ListParagraph"/>
        <w:numPr>
          <w:ilvl w:val="0"/>
          <w:numId w:val="2"/>
        </w:numPr>
        <w:spacing w:after="40" w:before="40"/>
      </w:pPr>
      <w:r>
        <w:rPr>
          <w:rFonts w:ascii="Arial" w:cs="Arial" w:eastAsia="Arial" w:hAnsi="Arial"/>
          <w:color w:val="1A1A2E"/>
          <w:sz w:val="22"/>
          <w:szCs w:val="22"/>
        </w:rPr>
        <w:t xml:space="preserve">Budget utilization gauge chart showing % of monthly budget consumed.</w:t>
      </w:r>
    </w:p>
    <w:p>
      <w:pPr>
        <w:pStyle w:val="ListParagraph"/>
        <w:numPr>
          <w:ilvl w:val="0"/>
          <w:numId w:val="2"/>
        </w:numPr>
        <w:spacing w:after="40" w:before="40"/>
      </w:pPr>
      <w:r>
        <w:rPr>
          <w:rFonts w:ascii="Arial" w:cs="Arial" w:eastAsia="Arial" w:hAnsi="Arial"/>
          <w:color w:val="1A1A2E"/>
          <w:sz w:val="22"/>
          <w:szCs w:val="22"/>
        </w:rPr>
        <w:t xml:space="preserve">Global region spend map for geographic cost distribution.</w:t>
      </w:r>
    </w:p>
    <w:p>
      <w:pPr>
        <w:spacing w:after="0" w:before="60"/>
      </w:pPr>
      <w:r>
        <w:t xml:space="preserve"/>
      </w:r>
    </w:p>
    <w:p>
      <w:pPr>
        <w:pStyle w:val="Heading3"/>
        <w:spacing w:after="80" w:before="180"/>
      </w:pPr>
      <w:r>
        <w:rPr>
          <w:rFonts w:ascii="Arial" w:cs="Arial" w:eastAsia="Arial" w:hAnsi="Arial"/>
          <w:b/>
          <w:bCs/>
          <w:color w:val="1A1A2E"/>
          <w:sz w:val="22"/>
          <w:szCs w:val="22"/>
        </w:rPr>
        <w:t xml:space="preserve">Page 2: Service Cost Breakdown</w:t>
      </w:r>
    </w:p>
    <w:p>
      <w:pPr>
        <w:spacing w:after="60" w:before="60"/>
      </w:pPr>
      <w:r>
        <w:rPr>
          <w:rFonts w:ascii="Arial" w:cs="Arial" w:eastAsia="Arial" w:hAnsi="Arial"/>
          <w:b w:val="false"/>
          <w:bCs w:val="false"/>
          <w:color w:val="1A1A2E"/>
          <w:sz w:val="22"/>
          <w:szCs w:val="22"/>
        </w:rPr>
        <w:t xml:space="preserve">Audience: Cloud Architects, Engineering Leads</w:t>
      </w:r>
    </w:p>
    <w:p>
      <w:pPr>
        <w:pStyle w:val="ListParagraph"/>
        <w:numPr>
          <w:ilvl w:val="0"/>
          <w:numId w:val="2"/>
        </w:numPr>
        <w:spacing w:after="40" w:before="40"/>
      </w:pPr>
      <w:r>
        <w:rPr>
          <w:rFonts w:ascii="Arial" w:cs="Arial" w:eastAsia="Arial" w:hAnsi="Arial"/>
          <w:color w:val="1A1A2E"/>
          <w:sz w:val="22"/>
          <w:szCs w:val="22"/>
        </w:rPr>
        <w:t xml:space="preserve">Cost treemap by GCP service category — Compute Engine, BigQuery, Cloud Run, etc.</w:t>
      </w:r>
    </w:p>
    <w:p>
      <w:pPr>
        <w:pStyle w:val="ListParagraph"/>
        <w:numPr>
          <w:ilvl w:val="0"/>
          <w:numId w:val="2"/>
        </w:numPr>
        <w:spacing w:after="40" w:before="40"/>
      </w:pPr>
      <w:r>
        <w:rPr>
          <w:rFonts w:ascii="Arial" w:cs="Arial" w:eastAsia="Arial" w:hAnsi="Arial"/>
          <w:color w:val="1A1A2E"/>
          <w:sz w:val="22"/>
          <w:szCs w:val="22"/>
        </w:rPr>
        <w:t xml:space="preserve">Monthly cost trend by service — stacked area chart.</w:t>
      </w:r>
    </w:p>
    <w:p>
      <w:pPr>
        <w:pStyle w:val="ListParagraph"/>
        <w:numPr>
          <w:ilvl w:val="0"/>
          <w:numId w:val="2"/>
        </w:numPr>
        <w:spacing w:after="40" w:before="40"/>
      </w:pPr>
      <w:r>
        <w:rPr>
          <w:rFonts w:ascii="Arial" w:cs="Arial" w:eastAsia="Arial" w:hAnsi="Arial"/>
          <w:color w:val="1A1A2E"/>
          <w:sz w:val="22"/>
          <w:szCs w:val="22"/>
        </w:rPr>
        <w:t xml:space="preserve">SKU-level drill-through: click any service to see individual SKU cost breakdown.</w:t>
      </w:r>
    </w:p>
    <w:p>
      <w:pPr>
        <w:pStyle w:val="ListParagraph"/>
        <w:numPr>
          <w:ilvl w:val="0"/>
          <w:numId w:val="2"/>
        </w:numPr>
        <w:spacing w:after="40" w:before="40"/>
      </w:pPr>
      <w:r>
        <w:rPr>
          <w:rFonts w:ascii="Arial" w:cs="Arial" w:eastAsia="Arial" w:hAnsi="Arial"/>
          <w:color w:val="1A1A2E"/>
          <w:sz w:val="22"/>
          <w:szCs w:val="22"/>
        </w:rPr>
        <w:t xml:space="preserve">Field parameter toggle: switch between Gross Cost, Net Cost, and Usage Amount axes.</w:t>
      </w:r>
    </w:p>
    <w:p>
      <w:pPr>
        <w:spacing w:after="0" w:before="60"/>
      </w:pPr>
      <w:r>
        <w:t xml:space="preserve"/>
      </w:r>
    </w:p>
    <w:p>
      <w:pPr>
        <w:pStyle w:val="Heading3"/>
        <w:spacing w:after="80" w:before="180"/>
      </w:pPr>
      <w:r>
        <w:rPr>
          <w:rFonts w:ascii="Arial" w:cs="Arial" w:eastAsia="Arial" w:hAnsi="Arial"/>
          <w:b/>
          <w:bCs/>
          <w:color w:val="1A1A2E"/>
          <w:sz w:val="22"/>
          <w:szCs w:val="22"/>
        </w:rPr>
        <w:t xml:space="preserve">Page 3: Project &amp; Team Chargeback</w:t>
      </w:r>
    </w:p>
    <w:p>
      <w:pPr>
        <w:spacing w:after="60" w:before="60"/>
      </w:pPr>
      <w:r>
        <w:rPr>
          <w:rFonts w:ascii="Arial" w:cs="Arial" w:eastAsia="Arial" w:hAnsi="Arial"/>
          <w:b w:val="false"/>
          <w:bCs w:val="false"/>
          <w:color w:val="1A1A2E"/>
          <w:sz w:val="22"/>
          <w:szCs w:val="22"/>
        </w:rPr>
        <w:t xml:space="preserve">Audience: Department Heads, Finance Teams</w:t>
      </w:r>
    </w:p>
    <w:p>
      <w:pPr>
        <w:pStyle w:val="ListParagraph"/>
        <w:numPr>
          <w:ilvl w:val="0"/>
          <w:numId w:val="2"/>
        </w:numPr>
        <w:spacing w:after="40" w:before="40"/>
      </w:pPr>
      <w:r>
        <w:rPr>
          <w:rFonts w:ascii="Arial" w:cs="Arial" w:eastAsia="Arial" w:hAnsi="Arial"/>
          <w:color w:val="1A1A2E"/>
          <w:sz w:val="22"/>
          <w:szCs w:val="22"/>
        </w:rPr>
        <w:t xml:space="preserve">Cost by Department (Engineering, Data Science, DevOps, Marketing, etc.) — horizontal bar chart.</w:t>
      </w:r>
    </w:p>
    <w:p>
      <w:pPr>
        <w:pStyle w:val="ListParagraph"/>
        <w:numPr>
          <w:ilvl w:val="0"/>
          <w:numId w:val="2"/>
        </w:numPr>
        <w:spacing w:after="40" w:before="40"/>
      </w:pPr>
      <w:r>
        <w:rPr>
          <w:rFonts w:ascii="Arial" w:cs="Arial" w:eastAsia="Arial" w:hAnsi="Arial"/>
          <w:color w:val="1A1A2E"/>
          <w:sz w:val="22"/>
          <w:szCs w:val="22"/>
        </w:rPr>
        <w:t xml:space="preserve">Cost by Environment (Production vs Staging vs Development vs Sandbox) — donut chart.</w:t>
      </w:r>
    </w:p>
    <w:p>
      <w:pPr>
        <w:pStyle w:val="ListParagraph"/>
        <w:numPr>
          <w:ilvl w:val="0"/>
          <w:numId w:val="2"/>
        </w:numPr>
        <w:spacing w:after="40" w:before="40"/>
      </w:pPr>
      <w:r>
        <w:rPr>
          <w:rFonts w:ascii="Arial" w:cs="Arial" w:eastAsia="Arial" w:hAnsi="Arial"/>
          <w:color w:val="1A1A2E"/>
          <w:sz w:val="22"/>
          <w:szCs w:val="22"/>
        </w:rPr>
        <w:t xml:space="preserve">Project-level cost table with MoM change column and conditional formatting (red if &gt;10% increase).</w:t>
      </w:r>
    </w:p>
    <w:p>
      <w:pPr>
        <w:pStyle w:val="ListParagraph"/>
        <w:numPr>
          <w:ilvl w:val="0"/>
          <w:numId w:val="2"/>
        </w:numPr>
        <w:spacing w:after="40" w:before="40"/>
      </w:pPr>
      <w:r>
        <w:rPr>
          <w:rFonts w:ascii="Arial" w:cs="Arial" w:eastAsia="Arial" w:hAnsi="Arial"/>
          <w:color w:val="1A1A2E"/>
          <w:sz w:val="22"/>
          <w:szCs w:val="22"/>
        </w:rPr>
        <w:t xml:space="preserve">Untagged resource cost highlight — dedicated KPI card showing cost of resources with no Project_ID.</w:t>
      </w:r>
    </w:p>
    <w:p>
      <w:pPr>
        <w:spacing w:after="0" w:before="60"/>
      </w:pPr>
      <w:r>
        <w:t xml:space="preserve"/>
      </w:r>
    </w:p>
    <w:p>
      <w:pPr>
        <w:pStyle w:val="Heading3"/>
        <w:spacing w:after="80" w:before="180"/>
      </w:pPr>
      <w:r>
        <w:rPr>
          <w:rFonts w:ascii="Arial" w:cs="Arial" w:eastAsia="Arial" w:hAnsi="Arial"/>
          <w:b/>
          <w:bCs/>
          <w:color w:val="1A1A2E"/>
          <w:sz w:val="22"/>
          <w:szCs w:val="22"/>
        </w:rPr>
        <w:t xml:space="preserve">Page 4: Idle Resource Identification</w:t>
      </w:r>
    </w:p>
    <w:p>
      <w:pPr>
        <w:spacing w:after="60" w:before="60"/>
      </w:pPr>
      <w:r>
        <w:rPr>
          <w:rFonts w:ascii="Arial" w:cs="Arial" w:eastAsia="Arial" w:hAnsi="Arial"/>
          <w:b w:val="false"/>
          <w:bCs w:val="false"/>
          <w:color w:val="1A1A2E"/>
          <w:sz w:val="22"/>
          <w:szCs w:val="22"/>
        </w:rPr>
        <w:t xml:space="preserve">Audience: DevOps Teams, FinOps Analysts</w:t>
      </w:r>
    </w:p>
    <w:p>
      <w:pPr>
        <w:pStyle w:val="ListParagraph"/>
        <w:numPr>
          <w:ilvl w:val="0"/>
          <w:numId w:val="2"/>
        </w:numPr>
        <w:spacing w:after="40" w:before="40"/>
      </w:pPr>
      <w:r>
        <w:rPr>
          <w:rFonts w:ascii="Arial" w:cs="Arial" w:eastAsia="Arial" w:hAnsi="Arial"/>
          <w:color w:val="1A1A2E"/>
          <w:sz w:val="22"/>
          <w:szCs w:val="22"/>
        </w:rPr>
        <w:t xml:space="preserve">List of projects with high Gross_Cost but low Usage_Amount — potential idle compute instances.</w:t>
      </w:r>
    </w:p>
    <w:p>
      <w:pPr>
        <w:pStyle w:val="ListParagraph"/>
        <w:numPr>
          <w:ilvl w:val="0"/>
          <w:numId w:val="2"/>
        </w:numPr>
        <w:spacing w:after="40" w:before="40"/>
      </w:pPr>
      <w:r>
        <w:rPr>
          <w:rFonts w:ascii="Arial" w:cs="Arial" w:eastAsia="Arial" w:hAnsi="Arial"/>
          <w:color w:val="1A1A2E"/>
          <w:sz w:val="22"/>
          <w:szCs w:val="22"/>
        </w:rPr>
        <w:t xml:space="preserve">Estimated monthly waste calculation based on usage-to-cost ratio thresholds.</w:t>
      </w:r>
    </w:p>
    <w:p>
      <w:pPr>
        <w:pStyle w:val="ListParagraph"/>
        <w:numPr>
          <w:ilvl w:val="0"/>
          <w:numId w:val="2"/>
        </w:numPr>
        <w:spacing w:after="40" w:before="40"/>
      </w:pPr>
      <w:r>
        <w:rPr>
          <w:rFonts w:ascii="Arial" w:cs="Arial" w:eastAsia="Arial" w:hAnsi="Arial"/>
          <w:color w:val="1A1A2E"/>
          <w:sz w:val="22"/>
          <w:szCs w:val="22"/>
        </w:rPr>
        <w:t xml:space="preserve">Region-wise idle resource concentration — which regions have the most wasted spend.</w:t>
      </w:r>
    </w:p>
    <w:p>
      <w:pPr>
        <w:pStyle w:val="ListParagraph"/>
        <w:numPr>
          <w:ilvl w:val="0"/>
          <w:numId w:val="2"/>
        </w:numPr>
        <w:spacing w:after="40" w:before="40"/>
      </w:pPr>
      <w:r>
        <w:rPr>
          <w:rFonts w:ascii="Arial" w:cs="Arial" w:eastAsia="Arial" w:hAnsi="Arial"/>
          <w:color w:val="1A1A2E"/>
          <w:sz w:val="22"/>
          <w:szCs w:val="22"/>
        </w:rPr>
        <w:t xml:space="preserve">Actionable recommendations table: resource, estimated waste, recommended action.</w:t>
      </w:r>
    </w:p>
    <w:p>
      <w:pPr>
        <w:spacing w:after="0" w:before="60"/>
      </w:pPr>
      <w:r>
        <w:t xml:space="preserve"/>
      </w:r>
    </w:p>
    <w:p>
      <w:pPr>
        <w:pStyle w:val="Heading3"/>
        <w:spacing w:after="80" w:before="180"/>
      </w:pPr>
      <w:r>
        <w:rPr>
          <w:rFonts w:ascii="Arial" w:cs="Arial" w:eastAsia="Arial" w:hAnsi="Arial"/>
          <w:b/>
          <w:bCs/>
          <w:color w:val="1A1A2E"/>
          <w:sz w:val="22"/>
          <w:szCs w:val="22"/>
        </w:rPr>
        <w:t xml:space="preserve">Page 5: Budget vs Actual</w:t>
      </w:r>
    </w:p>
    <w:p>
      <w:pPr>
        <w:spacing w:after="60" w:before="60"/>
      </w:pPr>
      <w:r>
        <w:rPr>
          <w:rFonts w:ascii="Arial" w:cs="Arial" w:eastAsia="Arial" w:hAnsi="Arial"/>
          <w:b w:val="false"/>
          <w:bCs w:val="false"/>
          <w:color w:val="1A1A2E"/>
          <w:sz w:val="22"/>
          <w:szCs w:val="22"/>
        </w:rPr>
        <w:t xml:space="preserve">Audience: Finance, Project Managers</w:t>
      </w:r>
    </w:p>
    <w:p>
      <w:pPr>
        <w:pStyle w:val="ListParagraph"/>
        <w:numPr>
          <w:ilvl w:val="0"/>
          <w:numId w:val="2"/>
        </w:numPr>
        <w:spacing w:after="40" w:before="40"/>
      </w:pPr>
      <w:r>
        <w:rPr>
          <w:rFonts w:ascii="Arial" w:cs="Arial" w:eastAsia="Arial" w:hAnsi="Arial"/>
          <w:color w:val="1A1A2E"/>
          <w:sz w:val="22"/>
          <w:szCs w:val="22"/>
        </w:rPr>
        <w:t xml:space="preserve">Waterfall chart showing budget, actual spend, variance, and projected end-of-month cost.</w:t>
      </w:r>
    </w:p>
    <w:p>
      <w:pPr>
        <w:pStyle w:val="ListParagraph"/>
        <w:numPr>
          <w:ilvl w:val="0"/>
          <w:numId w:val="2"/>
        </w:numPr>
        <w:spacing w:after="40" w:before="40"/>
      </w:pPr>
      <w:r>
        <w:rPr>
          <w:rFonts w:ascii="Arial" w:cs="Arial" w:eastAsia="Arial" w:hAnsi="Arial"/>
          <w:color w:val="1A1A2E"/>
          <w:sz w:val="22"/>
          <w:szCs w:val="22"/>
        </w:rPr>
        <w:t xml:space="preserve">Month-by-month budget utilization trend — line vs target chart.</w:t>
      </w:r>
    </w:p>
    <w:p>
      <w:pPr>
        <w:pStyle w:val="ListParagraph"/>
        <w:numPr>
          <w:ilvl w:val="0"/>
          <w:numId w:val="2"/>
        </w:numPr>
        <w:spacing w:after="40" w:before="40"/>
      </w:pPr>
      <w:r>
        <w:rPr>
          <w:rFonts w:ascii="Arial" w:cs="Arial" w:eastAsia="Arial" w:hAnsi="Arial"/>
          <w:color w:val="1A1A2E"/>
          <w:sz w:val="22"/>
          <w:szCs w:val="22"/>
        </w:rPr>
        <w:t xml:space="preserve">Department-level budget vs actual table with RAG (Red/Amber/Green) conditional formatting.</w:t>
      </w:r>
    </w:p>
    <w:p>
      <w:pPr>
        <w:pStyle w:val="ListParagraph"/>
        <w:numPr>
          <w:ilvl w:val="0"/>
          <w:numId w:val="2"/>
        </w:numPr>
        <w:spacing w:after="40" w:before="40"/>
      </w:pPr>
      <w:r>
        <w:rPr>
          <w:rFonts w:ascii="Arial" w:cs="Arial" w:eastAsia="Arial" w:hAnsi="Arial"/>
          <w:color w:val="1A1A2E"/>
          <w:sz w:val="22"/>
          <w:szCs w:val="22"/>
        </w:rPr>
        <w:t xml:space="preserve">Over-budget alert: projects exceeding 90% of budget threshold flagged with red indicators.</w:t>
      </w:r>
    </w:p>
    <w:p>
      <w:pPr>
        <w:spacing w:after="0" w:before="60"/>
      </w:pPr>
      <w:r>
        <w:t xml:space="preserve"/>
      </w:r>
    </w:p>
    <w:p>
      <w:pPr>
        <w:pStyle w:val="Heading3"/>
        <w:spacing w:after="80" w:before="180"/>
      </w:pPr>
      <w:r>
        <w:rPr>
          <w:rFonts w:ascii="Arial" w:cs="Arial" w:eastAsia="Arial" w:hAnsi="Arial"/>
          <w:b/>
          <w:bCs/>
          <w:color w:val="1A1A2E"/>
          <w:sz w:val="22"/>
          <w:szCs w:val="22"/>
        </w:rPr>
        <w:t xml:space="preserve">Page 6: Cost Anomaly Detection</w:t>
      </w:r>
    </w:p>
    <w:p>
      <w:pPr>
        <w:spacing w:after="60" w:before="60"/>
      </w:pPr>
      <w:r>
        <w:rPr>
          <w:rFonts w:ascii="Arial" w:cs="Arial" w:eastAsia="Arial" w:hAnsi="Arial"/>
          <w:b w:val="false"/>
          <w:bCs w:val="false"/>
          <w:color w:val="1A1A2E"/>
          <w:sz w:val="22"/>
          <w:szCs w:val="22"/>
        </w:rPr>
        <w:t xml:space="preserve">Audience: FinOps Analysts, SRE Teams</w:t>
      </w:r>
    </w:p>
    <w:p>
      <w:pPr>
        <w:pStyle w:val="ListParagraph"/>
        <w:numPr>
          <w:ilvl w:val="0"/>
          <w:numId w:val="2"/>
        </w:numPr>
        <w:spacing w:after="40" w:before="40"/>
      </w:pPr>
      <w:r>
        <w:rPr>
          <w:rFonts w:ascii="Arial" w:cs="Arial" w:eastAsia="Arial" w:hAnsi="Arial"/>
          <w:color w:val="1A1A2E"/>
          <w:sz w:val="22"/>
          <w:szCs w:val="22"/>
        </w:rPr>
        <w:t xml:space="preserve">Daily cost trend line with 7-day rolling average overlaid — spikes visually stand out.</w:t>
      </w:r>
    </w:p>
    <w:p>
      <w:pPr>
        <w:pStyle w:val="ListParagraph"/>
        <w:numPr>
          <w:ilvl w:val="0"/>
          <w:numId w:val="2"/>
        </w:numPr>
        <w:spacing w:after="40" w:before="40"/>
      </w:pPr>
      <w:r>
        <w:rPr>
          <w:rFonts w:ascii="Arial" w:cs="Arial" w:eastAsia="Arial" w:hAnsi="Arial"/>
          <w:color w:val="1A1A2E"/>
          <w:sz w:val="22"/>
          <w:szCs w:val="22"/>
        </w:rPr>
        <w:t xml:space="preserve">Anomaly Flag column: days where actual cost &gt; 120% of 7-day rolling average flagged as 'Spike'.</w:t>
      </w:r>
    </w:p>
    <w:p>
      <w:pPr>
        <w:pStyle w:val="ListParagraph"/>
        <w:numPr>
          <w:ilvl w:val="0"/>
          <w:numId w:val="2"/>
        </w:numPr>
        <w:spacing w:after="40" w:before="40"/>
      </w:pPr>
      <w:r>
        <w:rPr>
          <w:rFonts w:ascii="Arial" w:cs="Arial" w:eastAsia="Arial" w:hAnsi="Arial"/>
          <w:color w:val="1A1A2E"/>
          <w:sz w:val="22"/>
          <w:szCs w:val="22"/>
        </w:rPr>
        <w:t xml:space="preserve">Anomaly table: date, service, region, spike amount, and % deviation from average.</w:t>
      </w:r>
    </w:p>
    <w:p>
      <w:pPr>
        <w:pStyle w:val="ListParagraph"/>
        <w:numPr>
          <w:ilvl w:val="0"/>
          <w:numId w:val="2"/>
        </w:numPr>
        <w:spacing w:after="40" w:before="40"/>
      </w:pPr>
      <w:r>
        <w:rPr>
          <w:rFonts w:ascii="Arial" w:cs="Arial" w:eastAsia="Arial" w:hAnsi="Arial"/>
          <w:color w:val="1A1A2E"/>
          <w:sz w:val="22"/>
          <w:szCs w:val="22"/>
        </w:rPr>
        <w:t xml:space="preserve">Network cost anomaly sub-page: unusually high egress or inter-region transfer days.</w:t>
      </w:r>
    </w:p>
    <w:p>
      <w:pPr>
        <w:spacing w:after="0" w:before="100"/>
      </w:pPr>
      <w:r>
        <w:t xml:space="preserve"/>
      </w:r>
    </w:p>
    <w:p>
      <w:pPr>
        <w:pStyle w:val="Heading2"/>
        <w:spacing w:after="100" w:before="240"/>
      </w:pPr>
      <w:r>
        <w:rPr>
          <w:rFonts w:ascii="Arial" w:cs="Arial" w:eastAsia="Arial" w:hAnsi="Arial"/>
          <w:b/>
          <w:bCs/>
          <w:color w:val="2E75B6"/>
          <w:sz w:val="26"/>
          <w:szCs w:val="26"/>
        </w:rPr>
        <w:t xml:space="preserve">8.3 Key DAX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Measure Name</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Formula / Logic</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Total Cost MTD</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CALCULATE([Total Gross Cost], DATESMTD('Dim_Date'[Date]))</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Previous Month Cost</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CALCULATE([Total Gross Cost], PREVIOUSMONTH('Dim_Date'[Date]))</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MoM % Change</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DIVIDE([Total Cost MTD] - [Prev Month Cost], [Prev Month Cost], 0)</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Net Cost</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SUM(Fact_Billing[Gross_Cost]) + SUM(Fact_Billing[Credits_Amount])</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Budget Utilization %</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DIVIDE([Total Cost MTD], [Budget Amount], 0)</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7-Day Rolling Avg</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AVERAGEX(DATESINPERIOD('Dim_Date'[Date], LASTDATE('Dim_Date'[Date]), -7, DAY), [Daily Cost])</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Anomaly Flag</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IF([Daily Cost] &gt; [7-Day Rolling Avg] * 1.2, 'Spike', 'Normal')</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Cost Per GB (Network)</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DIVIDE(SUM(Fact_Networking[Network_Cost]), SUM(Fact_Networking[Data_Volume_GB]), 0)</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Untagged Cost</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CALCULATE([Total Gross Cost], Fact_Billing[Project_ID] = 'Untagged')</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 Untagged</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DIVIDE([Untagged Cost], [Total Gross Cost], 0)</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9. Expected Outcomes &amp; Business Value</w:t>
      </w:r>
    </w:p>
    <w:p>
      <w:pPr>
        <w:spacing w:after="60" w:before="60"/>
      </w:pPr>
      <w:r>
        <w:rPr>
          <w:rFonts w:ascii="Arial" w:cs="Arial" w:eastAsia="Arial" w:hAnsi="Arial"/>
          <w:b w:val="false"/>
          <w:bCs w:val="false"/>
          <w:color w:val="1A1A2E"/>
          <w:sz w:val="22"/>
          <w:szCs w:val="22"/>
        </w:rPr>
        <w:t xml:space="preserve">Upon completion, this project delivers the following measurable outcomes: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Outcome</w:t>
            </w:r>
          </w:p>
        </w:tc>
        <w:tc>
          <w:tcPr>
            <w:tcW w:type="dxa" w:w="6360"/>
            <w:tcBorders>
              <w:top w:val="single" w:color="CBDAEB" w:sz="1"/>
              <w:left w:val="single" w:color="CBDAEB" w:sz="1"/>
              <w:bottom w:val="single" w:color="CBDAEB" w:sz="1"/>
              <w:right w:val="single" w:color="CBDAEB" w:sz="1"/>
            </w:tcBorders>
            <w:shd w:fill="D6E4F0" w:val="clear"/>
            <w:tcMar>
              <w:top w:type="dxa" w:w="80"/>
              <w:left w:type="dxa" w:w="140"/>
              <w:bottom w:type="dxa" w:w="80"/>
              <w:right w:type="dxa" w:w="140"/>
            </w:tcMar>
          </w:tcPr>
          <w:p>
            <w:r>
              <w:rPr>
                <w:rFonts w:ascii="Arial" w:cs="Arial" w:eastAsia="Arial" w:hAnsi="Arial"/>
                <w:b/>
                <w:bCs/>
                <w:color w:val="1F5C99"/>
                <w:sz w:val="20"/>
                <w:szCs w:val="20"/>
              </w:rPr>
              <w:t xml:space="preserve">Business Value</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Real-time cost visibility across 80+ GCP projects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Eliminates end-of-month billing surprise; enables proactive spend management.</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Team-level chargeback reporting by department</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Creates financial accountability; enables fair cost attribution across Engineering, DevOps, Data Science teams.</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Idle resource identification with waste estimates</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Directly actionable cost savings — estimated 15–30% reduction in wasted cloud spend.</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Budget vs actual tracking with RAG status</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Finance teams can intervene before budget thresholds are breached, not after.</w:t>
            </w:r>
          </w:p>
        </w:tc>
      </w:tr>
      <w:tr>
        <w:tc>
          <w:tcPr>
            <w:tcW w:type="dxa" w:w="300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Automated anomaly detection (7-day rolling avg)</w:t>
            </w:r>
          </w:p>
        </w:tc>
        <w:tc>
          <w:tcPr>
            <w:tcW w:type="dxa" w:w="6360"/>
            <w:tcBorders>
              <w:top w:val="single" w:color="CBDAEB" w:sz="1"/>
              <w:left w:val="single" w:color="CBDAEB" w:sz="1"/>
              <w:bottom w:val="single" w:color="CBDAEB" w:sz="1"/>
              <w:right w:val="single" w:color="CBDAEB"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Reduces time-to-detect billing spikes from days to hours.</w:t>
            </w:r>
          </w:p>
        </w:tc>
      </w:tr>
      <w:tr>
        <w:tc>
          <w:tcPr>
            <w:tcW w:type="dxa" w:w="300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Clean, documented data pipeline</w:t>
            </w:r>
          </w:p>
        </w:tc>
        <w:tc>
          <w:tcPr>
            <w:tcW w:type="dxa" w:w="6360"/>
            <w:tcBorders>
              <w:top w:val="single" w:color="CBDAEB" w:sz="1"/>
              <w:left w:val="single" w:color="CBDAEB" w:sz="1"/>
              <w:bottom w:val="single" w:color="CBDAEB" w:sz="1"/>
              <w:right w:val="single" w:color="CBDAEB"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Reusable Power Query scripts that can be adapted for any GCP billing dataset.</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10. Conclusion</w:t>
      </w:r>
    </w:p>
    <w:p>
      <w:pPr>
        <w:spacing w:after="60" w:before="60"/>
      </w:pPr>
      <w:r>
        <w:rPr>
          <w:rFonts w:ascii="Arial" w:cs="Arial" w:eastAsia="Arial" w:hAnsi="Arial"/>
          <w:b w:val="false"/>
          <w:bCs w:val="false"/>
          <w:color w:val="1A1A2E"/>
          <w:sz w:val="22"/>
          <w:szCs w:val="22"/>
        </w:rPr>
        <w:t xml:space="preserve">This project demonstrates an end-to-end FinOps analytics solution built on real-world GCP cloud billing data, leveraging the power of Google BigQuery as a data warehouse and Microsoft Power BI Desktop as the visualization layer.</w:t>
      </w:r>
    </w:p>
    <w:p>
      <w:pPr>
        <w:spacing w:after="60" w:before="60"/>
      </w:pPr>
      <w:r>
        <w:rPr>
          <w:rFonts w:ascii="Arial" w:cs="Arial" w:eastAsia="Arial" w:hAnsi="Arial"/>
          <w:b w:val="false"/>
          <w:bCs w:val="false"/>
          <w:color w:val="1A1A2E"/>
          <w:sz w:val="22"/>
          <w:szCs w:val="22"/>
        </w:rPr>
        <w:t xml:space="preserve">By intentionally introducing and then systematically resolving six realistic data quality issues, the project showcases not only technical proficiency in Power Query M code and DAX, but also the critical thinking and data auditing skills that employers look for in data analyst and BI developer roles.</w:t>
      </w:r>
    </w:p>
    <w:p>
      <w:pPr>
        <w:spacing w:after="60" w:before="60"/>
      </w:pPr>
      <w:r>
        <w:rPr>
          <w:rFonts w:ascii="Arial" w:cs="Arial" w:eastAsia="Arial" w:hAnsi="Arial"/>
          <w:b w:val="false"/>
          <w:bCs w:val="false"/>
          <w:color w:val="1A1A2E"/>
          <w:sz w:val="22"/>
          <w:szCs w:val="22"/>
        </w:rPr>
        <w:t xml:space="preserve">The resulting dashboard addresses real problems faced by cloud operations and FinOps teams globally in 2026: uncontrolled costs, untagged resources, idle infrastructure, and lack of budget visibility. It is built to production-grade standards — with a clean star schema, documented transformations, advanced DAX, and six purpose-built report pages — making it a credible and impactful portfolio project.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8"/>
              <w:left w:val="single" w:color="1F5C99" w:sz="8"/>
              <w:bottom w:val="single" w:color="CBDAEB" w:sz="1"/>
              <w:right w:val="single" w:color="CBDAEB" w:sz="1"/>
            </w:tcBorders>
            <w:shd w:fill="E8F0FE" w:val="clear"/>
            <w:tcMar>
              <w:top w:type="dxa" w:w="120"/>
              <w:left w:type="dxa" w:w="180"/>
              <w:bottom w:type="dxa" w:w="120"/>
              <w:right w:type="dxa" w:w="180"/>
            </w:tcMar>
          </w:tcPr>
          <w:p>
            <w:pPr>
              <w:spacing w:after="60" w:before="0"/>
            </w:pPr>
            <w:r>
              <w:rPr>
                <w:rFonts w:ascii="Arial" w:cs="Arial" w:eastAsia="Arial" w:hAnsi="Arial"/>
                <w:b/>
                <w:bCs/>
                <w:color w:val="1F5C99"/>
                <w:sz w:val="20"/>
                <w:szCs w:val="20"/>
              </w:rPr>
              <w:t xml:space="preserve">Portfolio Statement</w:t>
            </w:r>
          </w:p>
          <w:p>
            <w:pPr>
              <w:spacing w:after="0" w:before="0"/>
            </w:pPr>
            <w:r>
              <w:rPr>
                <w:rFonts w:ascii="Arial" w:cs="Arial" w:eastAsia="Arial" w:hAnsi="Arial"/>
                <w:color w:val="1A1A2E"/>
                <w:sz w:val="21"/>
                <w:szCs w:val="21"/>
              </w:rPr>
              <w:t xml:space="preserve">This project covers: SQL (BigQuery queries in Power Query) | M Language (Power Query cleaning pipeline) | DAX (15+ measures) | Data Modeling (star schema) | Dashboard Design (6 pages) | Cloud FinOps domain knowledge (GCP Billing Export, SKUs, committed use discounts, egress costs). It is suitable for roles including: Data Analyst, BI Developer, Cloud FinOps Analyst, and Power BI Developer.</w:t>
            </w:r>
          </w:p>
        </w:tc>
      </w:tr>
    </w:tbl>
    <w:p>
      <w:pPr>
        <w:spacing w:after="0" w:before="120"/>
      </w:pPr>
      <w:r>
        <w:t xml:space="preserve"/>
      </w:r>
    </w:p>
    <w:p>
      <w:r>
        <w:br w:type="page"/>
      </w:r>
    </w:p>
    <w:p>
      <w:pPr>
        <w:pStyle w:val="Heading1"/>
        <w:pBdr>
          <w:bottom w:val="single" w:color="1F5C99" w:sz="8" w:space="4"/>
        </w:pBdr>
        <w:spacing w:after="160" w:before="320"/>
      </w:pPr>
      <w:r>
        <w:rPr>
          <w:rFonts w:ascii="Arial" w:cs="Arial" w:eastAsia="Arial" w:hAnsi="Arial"/>
          <w:b/>
          <w:bCs/>
          <w:color w:val="1F5C99"/>
          <w:sz w:val="32"/>
          <w:szCs w:val="32"/>
        </w:rPr>
        <w:t xml:space="preserve">11. References &amp; Data Sources</w:t>
      </w:r>
    </w:p>
    <w:p>
      <w:pPr>
        <w:pStyle w:val="ListParagraph"/>
        <w:numPr>
          <w:ilvl w:val="0"/>
          <w:numId w:val="2"/>
        </w:numPr>
        <w:spacing w:after="40" w:before="40"/>
      </w:pPr>
      <w:r>
        <w:rPr>
          <w:rFonts w:ascii="Arial" w:cs="Arial" w:eastAsia="Arial" w:hAnsi="Arial"/>
          <w:color w:val="1A1A2E"/>
          <w:sz w:val="22"/>
          <w:szCs w:val="22"/>
        </w:rPr>
        <w:t xml:space="preserve">Google Cloud Platform — Billing Export to BigQuery: https://cloud.google.com/billing/docs/how-to/export-data-bigquery</w:t>
      </w:r>
    </w:p>
    <w:p>
      <w:pPr>
        <w:pStyle w:val="ListParagraph"/>
        <w:numPr>
          <w:ilvl w:val="0"/>
          <w:numId w:val="2"/>
        </w:numPr>
        <w:spacing w:after="40" w:before="40"/>
      </w:pPr>
      <w:r>
        <w:rPr>
          <w:rFonts w:ascii="Arial" w:cs="Arial" w:eastAsia="Arial" w:hAnsi="Arial"/>
          <w:color w:val="1A1A2E"/>
          <w:sz w:val="22"/>
          <w:szCs w:val="22"/>
        </w:rPr>
        <w:t xml:space="preserve">Microsoft Power BI Desktop — BigQuery Connector Documentation: https://learn.microsoft.com/en-us/power-query/connectors/googlebigquery</w:t>
      </w:r>
    </w:p>
    <w:p>
      <w:pPr>
        <w:pStyle w:val="ListParagraph"/>
        <w:numPr>
          <w:ilvl w:val="0"/>
          <w:numId w:val="2"/>
        </w:numPr>
        <w:spacing w:after="40" w:before="40"/>
      </w:pPr>
      <w:r>
        <w:rPr>
          <w:rFonts w:ascii="Arial" w:cs="Arial" w:eastAsia="Arial" w:hAnsi="Arial"/>
          <w:color w:val="1A1A2E"/>
          <w:sz w:val="22"/>
          <w:szCs w:val="22"/>
        </w:rPr>
        <w:t xml:space="preserve">FinOps Foundation — Cloud FinOps Framework: https://www.finops.org/framework/</w:t>
      </w:r>
    </w:p>
    <w:p>
      <w:pPr>
        <w:pStyle w:val="ListParagraph"/>
        <w:numPr>
          <w:ilvl w:val="0"/>
          <w:numId w:val="2"/>
        </w:numPr>
        <w:spacing w:after="40" w:before="40"/>
      </w:pPr>
      <w:r>
        <w:rPr>
          <w:rFonts w:ascii="Arial" w:cs="Arial" w:eastAsia="Arial" w:hAnsi="Arial"/>
          <w:color w:val="1A1A2E"/>
          <w:sz w:val="22"/>
          <w:szCs w:val="22"/>
        </w:rPr>
        <w:t xml:space="preserve">Gartner Top Strategic Technology Trends 2026 — Cloud Cost Optimization</w:t>
      </w:r>
    </w:p>
    <w:p>
      <w:pPr>
        <w:pStyle w:val="ListParagraph"/>
        <w:numPr>
          <w:ilvl w:val="0"/>
          <w:numId w:val="2"/>
        </w:numPr>
        <w:spacing w:after="40" w:before="40"/>
      </w:pPr>
      <w:r>
        <w:rPr>
          <w:rFonts w:ascii="Arial" w:cs="Arial" w:eastAsia="Arial" w:hAnsi="Arial"/>
          <w:color w:val="1A1A2E"/>
          <w:sz w:val="22"/>
          <w:szCs w:val="22"/>
        </w:rPr>
        <w:t xml:space="preserve">Deloitte 2026 Software Industry Outlook — AI-first engineering and cost discipline</w:t>
      </w:r>
    </w:p>
    <w:p>
      <w:pPr>
        <w:pStyle w:val="ListParagraph"/>
        <w:numPr>
          <w:ilvl w:val="0"/>
          <w:numId w:val="2"/>
        </w:numPr>
        <w:spacing w:after="40" w:before="40"/>
      </w:pPr>
      <w:r>
        <w:rPr>
          <w:rFonts w:ascii="Arial" w:cs="Arial" w:eastAsia="Arial" w:hAnsi="Arial"/>
          <w:color w:val="1A1A2E"/>
          <w:sz w:val="22"/>
          <w:szCs w:val="22"/>
        </w:rPr>
        <w:t xml:space="preserve">GCP Billing Export Dataset: Purpose-built mock dataset structured to replicate Google Cloud Billing Export schema</w:t>
      </w:r>
    </w:p>
    <w:p>
      <w:pPr>
        <w:spacing w:after="0" w:before="120"/>
      </w:pPr>
      <w:r>
        <w:t xml:space="preserve"/>
      </w:r>
    </w:p>
    <w:p>
      <w:pPr>
        <w:spacing w:after="0" w:before="240"/>
        <w:jc w:val="center"/>
      </w:pPr>
      <w:r>
        <w:rPr>
          <w:rFonts w:ascii="Arial" w:cs="Arial" w:eastAsia="Arial" w:hAnsi="Arial"/>
          <w:color w:val="888888"/>
          <w:sz w:val="20"/>
          <w:szCs w:val="20"/>
        </w:rPr>
        <w:t xml:space="preserve">— End of Project Report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space="4"/>
      </w:pBdr>
      <w:jc w:val="center"/>
    </w:pPr>
    <w:r>
      <w:rPr>
        <w:rFonts w:ascii="Arial" w:cs="Arial" w:eastAsia="Arial" w:hAnsi="Arial"/>
        <w:color w:val="888888"/>
        <w:sz w:val="16"/>
        <w:szCs w:val="16"/>
      </w:rPr>
      <w:t xml:space="preserve">Confidential — For Portfolio Use Only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space="4"/>
      </w:pBdr>
      <w:jc w:val="right"/>
    </w:pPr>
    <w:r>
      <w:rPr>
        <w:rFonts w:ascii="Arial" w:cs="Arial" w:eastAsia="Arial" w:hAnsi="Arial"/>
        <w:color w:val="2E75B6"/>
        <w:sz w:val="18"/>
        <w:szCs w:val="18"/>
      </w:rPr>
      <w:t xml:space="preserve">GCP Cloud Cost Optimization | Power BI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5C9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2026-05-17T17:16:38.940Z</dcterms:created>
  <dcterms:modified xsi:type="dcterms:W3CDTF">2026-05-17T17:16:38.940Z</dcterms:modified>
</cp:coreProperties>
</file>

<file path=docProps/custom.xml><?xml version="1.0" encoding="utf-8"?>
<Properties xmlns="http://schemas.openxmlformats.org/officeDocument/2006/custom-properties" xmlns:vt="http://schemas.openxmlformats.org/officeDocument/2006/docPropsVTypes"/>
</file>