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data=pd.Series([24.23,25.53,25.41,24.14,29.62,28.25,25.81,24.39,40.26,32.95,91.36,25.99,39.42,26.71,35.00])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Names=[“Allied Signal”, “Bankers Trust”, “General Mills”, “ITT Industries”, “J.P.Morgan &amp; Co.”, “Lehman Brothers”, “Marriott”, “MCI”, “Merrill Lynch”, “Microsoft”,”Morgan Stanley”,”Sun Microsystems”,”Travelers”,”US Airways”, “Warner-Lambert”]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%matplotlib inline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Fig=plt.figure(figsize=(8,8))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Plt.pie(data,labels=names,autopct=’%1.2f%’)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  <w:bookmarkStart w:id="0" w:name="_GoBack"/>
      <w:bookmarkEnd w:id="0"/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24575" cy="4972050"/>
            <wp:effectExtent l="0" t="0" r="190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        Here clearly 25 is the outlier.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Median=7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quartile=5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quartile=12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IQR=(12-5)=7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IQR tells us the range of the middle half of the data.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Ans       positively skewed.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  <w:r>
        <w:rPr>
          <w:rFonts w:hint="default"/>
          <w:lang w:val="en-IN"/>
        </w:rPr>
        <w:t>Ans      In that case there would have been no outliers,and it might have affected in the values of mean and median slightly. The boxplot might have moved towards right slightly.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110" w:firstLineChars="50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        Between 5-8(Most frequent data)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        It is positively skewed.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Ans       By comparing both of them it is very clear that the data would be positively skewed.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1430" w:firstLineChars="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Also,would help us finding mean, mode value.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    Ans    Probability of call getting misdirected=(1/200)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               Hence probability of call not getting misdirected=1-(1/200)=199/200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Number of phone calls attempted=5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Therefore, probability that at least one in 5 attempted call reaches the wrong number is: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=1-(199/200)^5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 xml:space="preserve">  =0.025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        Here the hightest probability is for 2000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489" w:leftChars="327" w:hanging="770" w:hangingChars="350"/>
        <w:rPr>
          <w:rFonts w:hint="default"/>
          <w:lang w:val="en-IN"/>
        </w:rPr>
      </w:pPr>
      <w:r>
        <w:rPr>
          <w:rFonts w:hint="default"/>
          <w:lang w:val="en-IN"/>
        </w:rPr>
        <w:t>Ans        Yes,because the total earning of the venture is positive in value I.e 800 and highest probability of earning is 2000.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489" w:leftChars="327" w:hanging="770" w:hangingChars="350"/>
        <w:rPr>
          <w:rFonts w:hint="default"/>
          <w:lang w:val="en-IN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Style w:val="6"/>
        <w:tblpPr w:leftFromText="180" w:rightFromText="180" w:vertAnchor="text" w:horzAnchor="page" w:tblpX="3462" w:tblpY="43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rPr>
                <w:lang w:val="en-IN"/>
              </w:rPr>
              <w:t xml:space="preserve"> </w:t>
            </w: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Income(x*P(X))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70" w:firstLineChars="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-200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70" w:firstLineChars="3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-100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600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Total                         800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990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tbl>
      <w:tblPr>
        <w:tblStyle w:val="6"/>
        <w:tblpPr w:leftFromText="180" w:rightFromText="180" w:vertAnchor="text" w:horzAnchor="page" w:tblpX="3462" w:tblpY="43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rPr>
                <w:lang w:val="en-IN"/>
              </w:rPr>
              <w:t xml:space="preserve"> </w:t>
            </w: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X*P(X)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-2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-1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var                                 86666.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Std                                294.3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68C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113</TotalTime>
  <ScaleCrop>false</ScaleCrop>
  <LinksUpToDate>false</LinksUpToDate>
  <CharactersWithSpaces>2389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Dell</cp:lastModifiedBy>
  <dcterms:modified xsi:type="dcterms:W3CDTF">2023-07-28T14:48:00Z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B6252EE7499545E8A63D957B089BB1C5_12</vt:lpwstr>
  </property>
</Properties>
</file>