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00000"/>
          <w:sz w:val="48"/>
        </w:rPr>
        <w:t>Lexora App Overview</w:t>
      </w:r>
    </w:p>
    <w:p>
      <w:pPr>
        <w:spacing w:after="280"/>
      </w:pPr>
      <w:r>
        <w:rPr>
          <w:rFonts w:ascii="Calibri" w:hAnsi="Calibri"/>
          <w:color w:val="5C6874"/>
          <w:sz w:val="24"/>
        </w:rPr>
        <w:t>Guidde video reference for installation, workflow demonstration, and product explanation</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4680"/>
        <w:gridCol w:w="4680"/>
      </w:tblGrid>
      <w:tr>
        <w:tc>
          <w:tcPr>
            <w:tcW w:type="dxa" w:w="2016"/>
            <w:tcMar>
              <w:top w:w="80" w:type="dxa"/>
              <w:start w:w="120" w:type="dxa"/>
              <w:bottom w:w="80" w:type="dxa"/>
              <w:end w:w="120" w:type="dxa"/>
            </w:tcMar>
            <w:vAlign w:val="center"/>
            <w:shd w:fill="E8EEF5"/>
          </w:tcPr>
          <w:p>
            <w:pPr>
              <w:spacing w:after="0"/>
            </w:pPr>
            <w:r>
              <w:rPr>
                <w:rFonts w:ascii="Calibri" w:hAnsi="Calibri"/>
                <w:b/>
                <w:color w:val="1F4D78"/>
                <w:sz w:val="21"/>
              </w:rPr>
              <w:t>Project</w:t>
            </w:r>
          </w:p>
        </w:tc>
        <w:tc>
          <w:tcPr>
            <w:tcW w:type="dxa" w:w="7344"/>
            <w:tcMar>
              <w:top w:w="80" w:type="dxa"/>
              <w:start w:w="120" w:type="dxa"/>
              <w:bottom w:w="80" w:type="dxa"/>
              <w:end w:w="120" w:type="dxa"/>
            </w:tcMar>
            <w:vAlign w:val="center"/>
          </w:tcPr>
          <w:p>
            <w:pPr>
              <w:spacing w:after="0"/>
            </w:pPr>
            <w:r>
              <w:rPr>
                <w:rFonts w:ascii="Calibri" w:hAnsi="Calibri"/>
                <w:color w:val="141F2D"/>
                <w:sz w:val="21"/>
              </w:rPr>
              <w:t>LexoraV1 legal productivity and billing platform</w:t>
            </w:r>
          </w:p>
        </w:tc>
      </w:tr>
      <w:tr>
        <w:tc>
          <w:tcPr>
            <w:tcW w:type="dxa" w:w="2016"/>
            <w:tcMar>
              <w:top w:w="80" w:type="dxa"/>
              <w:start w:w="120" w:type="dxa"/>
              <w:bottom w:w="80" w:type="dxa"/>
              <w:end w:w="120" w:type="dxa"/>
            </w:tcMar>
            <w:vAlign w:val="center"/>
            <w:shd w:fill="E8EEF5"/>
          </w:tcPr>
          <w:p>
            <w:pPr>
              <w:spacing w:after="0"/>
            </w:pPr>
            <w:r>
              <w:rPr>
                <w:rFonts w:ascii="Calibri" w:hAnsi="Calibri"/>
                <w:b/>
                <w:color w:val="1F4D78"/>
                <w:sz w:val="21"/>
              </w:rPr>
              <w:t>Audience</w:t>
            </w:r>
          </w:p>
        </w:tc>
        <w:tc>
          <w:tcPr>
            <w:tcW w:type="dxa" w:w="7344"/>
            <w:tcMar>
              <w:top w:w="80" w:type="dxa"/>
              <w:start w:w="120" w:type="dxa"/>
              <w:bottom w:w="80" w:type="dxa"/>
              <w:end w:w="120" w:type="dxa"/>
            </w:tcMar>
            <w:vAlign w:val="center"/>
          </w:tcPr>
          <w:p>
            <w:pPr>
              <w:spacing w:after="0"/>
            </w:pPr>
            <w:r>
              <w:rPr>
                <w:rFonts w:ascii="Calibri" w:hAnsi="Calibri"/>
                <w:color w:val="141F2D"/>
                <w:sz w:val="21"/>
              </w:rPr>
              <w:t>Hackathon judges, evaluators, demo viewers, and first-time users</w:t>
            </w:r>
          </w:p>
        </w:tc>
      </w:tr>
      <w:tr>
        <w:tc>
          <w:tcPr>
            <w:tcW w:type="dxa" w:w="2016"/>
            <w:tcMar>
              <w:top w:w="80" w:type="dxa"/>
              <w:start w:w="120" w:type="dxa"/>
              <w:bottom w:w="80" w:type="dxa"/>
              <w:end w:w="120" w:type="dxa"/>
            </w:tcMar>
            <w:vAlign w:val="center"/>
            <w:shd w:fill="E8EEF5"/>
          </w:tcPr>
          <w:p>
            <w:pPr>
              <w:spacing w:after="0"/>
            </w:pPr>
            <w:r>
              <w:rPr>
                <w:rFonts w:ascii="Calibri" w:hAnsi="Calibri"/>
                <w:b/>
                <w:color w:val="1F4D78"/>
                <w:sz w:val="21"/>
              </w:rPr>
              <w:t>Goal</w:t>
            </w:r>
          </w:p>
        </w:tc>
        <w:tc>
          <w:tcPr>
            <w:tcW w:type="dxa" w:w="7344"/>
            <w:tcMar>
              <w:top w:w="80" w:type="dxa"/>
              <w:start w:w="120" w:type="dxa"/>
              <w:bottom w:w="80" w:type="dxa"/>
              <w:end w:w="120" w:type="dxa"/>
            </w:tcMar>
            <w:vAlign w:val="center"/>
          </w:tcPr>
          <w:p>
            <w:pPr>
              <w:spacing w:after="0"/>
            </w:pPr>
            <w:r>
              <w:rPr>
                <w:rFonts w:ascii="Calibri" w:hAnsi="Calibri"/>
                <w:color w:val="141F2D"/>
                <w:sz w:val="21"/>
              </w:rPr>
              <w:t>Show how Lexora captures legal work, organizes it by client and matter, and turns it into billable records.</w:t>
            </w:r>
          </w:p>
        </w:tc>
      </w:tr>
    </w:tbl>
    <w:p>
      <w:pPr>
        <w:pStyle w:val="Heading1"/>
      </w:pPr>
      <w:r>
        <w:t>One-Line Overview</w:t>
      </w:r>
    </w:p>
    <w:tbl>
      <w:tblPr>
        <w:tblW w:type="dxa" w:w="9360"/>
        <w:jc w:val="left"/>
        <w:tblLayout w:type="fixed"/>
        <w:tblLook w:firstColumn="1" w:firstRow="1" w:lastColumn="0" w:lastRow="0" w:noHBand="0" w:noVBand="1" w:val="04A0"/>
        <w:tblInd w:w="120" w:type="dxa"/>
        <w:tblBorders>
          <w:top w:val="single" w:sz="4" w:space="0" w:color="D4DFEC"/>
          <w:left w:val="single" w:sz="4" w:space="0" w:color="D4DFEC"/>
          <w:bottom w:val="single" w:sz="4" w:space="0" w:color="D4DFEC"/>
          <w:right w:val="single" w:sz="4" w:space="0" w:color="D4DFEC"/>
          <w:insideH w:val="single" w:sz="4" w:space="0" w:color="D4DFEC"/>
          <w:insideV w:val="single" w:sz="4" w:space="0" w:color="D4DFEC"/>
        </w:tblBorders>
      </w:tblPr>
      <w:tblGrid>
        <w:gridCol w:w="9360"/>
      </w:tblGrid>
      <w:tr>
        <w:tc>
          <w:tcPr>
            <w:tcW w:type="dxa" w:w="9360"/>
            <w:shd w:fill="F2F4F7"/>
            <w:tcMar>
              <w:top w:w="120" w:type="dxa"/>
              <w:start w:w="160" w:type="dxa"/>
              <w:bottom w:w="120" w:type="dxa"/>
              <w:end w:w="160" w:type="dxa"/>
            </w:tcMar>
          </w:tcPr>
          <w:p>
            <w:pPr>
              <w:spacing w:after="0"/>
            </w:pPr>
            <w:r>
              <w:rPr>
                <w:rFonts w:ascii="Calibri" w:hAnsi="Calibri"/>
                <w:b/>
                <w:color w:val="1F4D78"/>
                <w:sz w:val="21"/>
              </w:rPr>
              <w:t xml:space="preserve">Demo message: </w:t>
            </w:r>
            <w:r>
              <w:rPr>
                <w:rFonts w:ascii="Calibri" w:hAnsi="Calibri"/>
                <w:color w:val="141F2D"/>
                <w:sz w:val="21"/>
              </w:rPr>
              <w:t>Lexora is a connected legal productivity and billing platform that captures work from web, desktop, and browser activity, maps it to clients and matters, and helps firms convert that work into reviewed billables and invoices.</w:t>
            </w:r>
          </w:p>
        </w:tc>
      </w:tr>
    </w:tbl>
    <w:p>
      <w:pPr>
        <w:pStyle w:val="Heading1"/>
      </w:pPr>
      <w:r>
        <w:t>What the App Does</w:t>
      </w:r>
    </w:p>
    <w:p>
      <w:r>
        <w:rPr>
          <w:rFonts w:ascii="Calibri" w:hAnsi="Calibri"/>
          <w:color w:val="141F2D"/>
          <w:sz w:val="22"/>
        </w:rPr>
        <w:t>Lexora helps legal teams reduce missed billable time by connecting daily work activity to the business records a law firm already cares about: clients, matters, tasks, documents, time entries, billables, invoices, payments, and analytics.</w:t>
      </w:r>
    </w:p>
    <w:p>
      <w:pPr>
        <w:pStyle w:val="ListBullet"/>
        <w:spacing w:after="80" w:line="300" w:lineRule="auto"/>
        <w:ind w:left="540" w:hanging="271"/>
      </w:pPr>
      <w:r>
        <w:rPr>
          <w:rFonts w:ascii="Calibri" w:hAnsi="Calibri"/>
          <w:color w:val="141F2D"/>
          <w:sz w:val="22"/>
        </w:rPr>
        <w:t>Organizes legal work around clients, matters, assignments, documents, and tasks.</w:t>
      </w:r>
    </w:p>
    <w:p>
      <w:pPr>
        <w:pStyle w:val="ListBullet"/>
        <w:spacing w:after="80" w:line="300" w:lineRule="auto"/>
        <w:ind w:left="540" w:hanging="271"/>
      </w:pPr>
      <w:r>
        <w:rPr>
          <w:rFonts w:ascii="Calibri" w:hAnsi="Calibri"/>
          <w:color w:val="141F2D"/>
          <w:sz w:val="22"/>
        </w:rPr>
        <w:t>Captures billable activity through manual time entry, desktop work sessions, Gmail typing activity, and research capture.</w:t>
      </w:r>
    </w:p>
    <w:p>
      <w:pPr>
        <w:pStyle w:val="ListBullet"/>
        <w:spacing w:after="80" w:line="300" w:lineRule="auto"/>
        <w:ind w:left="540" w:hanging="271"/>
      </w:pPr>
      <w:r>
        <w:rPr>
          <w:rFonts w:ascii="Calibri" w:hAnsi="Calibri"/>
          <w:color w:val="141F2D"/>
          <w:sz w:val="22"/>
        </w:rPr>
        <w:t>Supports review workflows so captured activity can become accurate time entries and billables.</w:t>
      </w:r>
    </w:p>
    <w:p>
      <w:pPr>
        <w:pStyle w:val="ListBullet"/>
        <w:spacing w:after="80" w:line="300" w:lineRule="auto"/>
        <w:ind w:left="540" w:hanging="271"/>
      </w:pPr>
      <w:r>
        <w:rPr>
          <w:rFonts w:ascii="Calibri" w:hAnsi="Calibri"/>
          <w:color w:val="141F2D"/>
          <w:sz w:val="22"/>
        </w:rPr>
        <w:t>Provides finance, invoice, payment, workforce, and productivity dashboards for firm visibility.</w:t>
      </w:r>
    </w:p>
    <w:p>
      <w:pPr>
        <w:pStyle w:val="ListBullet"/>
        <w:spacing w:after="80" w:line="300" w:lineRule="auto"/>
        <w:ind w:left="540" w:hanging="271"/>
      </w:pPr>
      <w:r>
        <w:rPr>
          <w:rFonts w:ascii="Calibri" w:hAnsi="Calibri"/>
          <w:color w:val="141F2D"/>
          <w:sz w:val="22"/>
        </w:rPr>
        <w:t>Includes AI-assisted legal workflows for matter questions, document summaries, email drafting, and research support.</w:t>
      </w:r>
    </w:p>
    <w:p>
      <w:pPr>
        <w:pStyle w:val="Heading1"/>
      </w:pPr>
      <w:r>
        <w:t>Main Components</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4680"/>
        <w:gridCol w:w="4680"/>
      </w:tblGrid>
      <w:tr>
        <w:tc>
          <w:tcPr>
            <w:tcW w:type="dxa" w:w="2700"/>
            <w:shd w:fill="E8EEF5"/>
            <w:tcMar>
              <w:top w:w="80" w:type="dxa"/>
              <w:start w:w="120" w:type="dxa"/>
              <w:bottom w:w="80" w:type="dxa"/>
              <w:end w:w="120" w:type="dxa"/>
            </w:tcMar>
          </w:tcPr>
          <w:p>
            <w:pPr>
              <w:spacing w:after="0"/>
            </w:pPr>
            <w:r>
              <w:rPr>
                <w:rFonts w:ascii="Calibri" w:hAnsi="Calibri"/>
                <w:b/>
                <w:color w:val="1F4D78"/>
                <w:sz w:val="21"/>
              </w:rPr>
              <w:t>Component</w:t>
            </w:r>
          </w:p>
        </w:tc>
        <w:tc>
          <w:tcPr>
            <w:tcW w:type="dxa" w:w="6660"/>
            <w:shd w:fill="E8EEF5"/>
            <w:tcMar>
              <w:top w:w="80" w:type="dxa"/>
              <w:start w:w="120" w:type="dxa"/>
              <w:bottom w:w="80" w:type="dxa"/>
              <w:end w:w="120" w:type="dxa"/>
            </w:tcMar>
          </w:tcPr>
          <w:p>
            <w:pPr>
              <w:spacing w:after="0"/>
            </w:pPr>
            <w:r>
              <w:rPr>
                <w:rFonts w:ascii="Calibri" w:hAnsi="Calibri"/>
                <w:b/>
                <w:color w:val="1F4D78"/>
                <w:sz w:val="21"/>
              </w:rPr>
              <w:t>Role in the app</w:t>
            </w:r>
          </w:p>
        </w:tc>
      </w:tr>
      <w:tr>
        <w:tc>
          <w:tcPr>
            <w:tcW w:type="dxa" w:w="2700"/>
            <w:tcMar>
              <w:top w:w="80" w:type="dxa"/>
              <w:start w:w="120" w:type="dxa"/>
              <w:bottom w:w="80" w:type="dxa"/>
              <w:end w:w="120" w:type="dxa"/>
            </w:tcMar>
            <w:vAlign w:val="center"/>
          </w:tcPr>
          <w:p>
            <w:pPr>
              <w:spacing w:after="0"/>
            </w:pPr>
            <w:r>
              <w:rPr>
                <w:rFonts w:ascii="Calibri" w:hAnsi="Calibri"/>
                <w:b/>
                <w:color w:val="1F4D78"/>
                <w:sz w:val="21"/>
              </w:rPr>
              <w:t>Web dashboard</w:t>
            </w:r>
          </w:p>
        </w:tc>
        <w:tc>
          <w:tcPr>
            <w:tcW w:type="dxa" w:w="6660"/>
            <w:tcMar>
              <w:top w:w="80" w:type="dxa"/>
              <w:start w:w="120" w:type="dxa"/>
              <w:bottom w:w="80" w:type="dxa"/>
              <w:end w:w="120" w:type="dxa"/>
            </w:tcMar>
            <w:vAlign w:val="center"/>
          </w:tcPr>
          <w:p>
            <w:pPr>
              <w:spacing w:after="0"/>
            </w:pPr>
            <w:r>
              <w:rPr>
                <w:rFonts w:ascii="Calibri" w:hAnsi="Calibri"/>
                <w:color w:val="141F2D"/>
                <w:sz w:val="21"/>
              </w:rPr>
              <w:t>Main user interface for clients, matters, tasks, time entries, billables, invoices, analytics, settings, and approvals.</w:t>
            </w:r>
          </w:p>
        </w:tc>
      </w:tr>
      <w:tr>
        <w:tc>
          <w:tcPr>
            <w:tcW w:type="dxa" w:w="2700"/>
            <w:tcMar>
              <w:top w:w="80" w:type="dxa"/>
              <w:start w:w="120" w:type="dxa"/>
              <w:bottom w:w="80" w:type="dxa"/>
              <w:end w:w="120" w:type="dxa"/>
            </w:tcMar>
            <w:vAlign w:val="center"/>
          </w:tcPr>
          <w:p>
            <w:pPr>
              <w:spacing w:after="0"/>
            </w:pPr>
            <w:r>
              <w:rPr>
                <w:rFonts w:ascii="Calibri" w:hAnsi="Calibri"/>
                <w:b/>
                <w:color w:val="1F4D78"/>
                <w:sz w:val="21"/>
              </w:rPr>
              <w:t>Backend API</w:t>
            </w:r>
          </w:p>
        </w:tc>
        <w:tc>
          <w:tcPr>
            <w:tcW w:type="dxa" w:w="6660"/>
            <w:tcMar>
              <w:top w:w="80" w:type="dxa"/>
              <w:start w:w="120" w:type="dxa"/>
              <w:bottom w:w="80" w:type="dxa"/>
              <w:end w:w="120" w:type="dxa"/>
            </w:tcMar>
            <w:vAlign w:val="center"/>
          </w:tcPr>
          <w:p>
            <w:pPr>
              <w:spacing w:after="0"/>
            </w:pPr>
            <w:r>
              <w:rPr>
                <w:rFonts w:ascii="Calibri" w:hAnsi="Calibri"/>
                <w:color w:val="141F2D"/>
                <w:sz w:val="21"/>
              </w:rPr>
              <w:t>Express and MongoDB service layer that manages authentication, firm data, legal records, billing entities, activity capture, and integrations.</w:t>
            </w:r>
          </w:p>
        </w:tc>
      </w:tr>
      <w:tr>
        <w:tc>
          <w:tcPr>
            <w:tcW w:type="dxa" w:w="2700"/>
            <w:tcMar>
              <w:top w:w="80" w:type="dxa"/>
              <w:start w:w="120" w:type="dxa"/>
              <w:bottom w:w="80" w:type="dxa"/>
              <w:end w:w="120" w:type="dxa"/>
            </w:tcMar>
            <w:vAlign w:val="center"/>
          </w:tcPr>
          <w:p>
            <w:pPr>
              <w:spacing w:after="0"/>
            </w:pPr>
            <w:r>
              <w:rPr>
                <w:rFonts w:ascii="Calibri" w:hAnsi="Calibri"/>
                <w:b/>
                <w:color w:val="1F4D78"/>
                <w:sz w:val="21"/>
              </w:rPr>
              <w:t>Desktop agent</w:t>
            </w:r>
          </w:p>
        </w:tc>
        <w:tc>
          <w:tcPr>
            <w:tcW w:type="dxa" w:w="6660"/>
            <w:tcMar>
              <w:top w:w="80" w:type="dxa"/>
              <w:start w:w="120" w:type="dxa"/>
              <w:bottom w:w="80" w:type="dxa"/>
              <w:end w:w="120" w:type="dxa"/>
            </w:tcMar>
            <w:vAlign w:val="center"/>
          </w:tcPr>
          <w:p>
            <w:pPr>
              <w:spacing w:after="0"/>
            </w:pPr>
            <w:r>
              <w:rPr>
                <w:rFonts w:ascii="Calibri" w:hAnsi="Calibri"/>
                <w:color w:val="141F2D"/>
                <w:sz w:val="21"/>
              </w:rPr>
              <w:t>Electron-based Windows agent that signs in users, tracks live work sessions, monitors app activity, and syncs captured activity to the backend.</w:t>
            </w:r>
          </w:p>
        </w:tc>
      </w:tr>
      <w:tr>
        <w:tc>
          <w:tcPr>
            <w:tcW w:type="dxa" w:w="2700"/>
            <w:tcMar>
              <w:top w:w="80" w:type="dxa"/>
              <w:start w:w="120" w:type="dxa"/>
              <w:bottom w:w="80" w:type="dxa"/>
              <w:end w:w="120" w:type="dxa"/>
            </w:tcMar>
            <w:vAlign w:val="center"/>
          </w:tcPr>
          <w:p>
            <w:pPr>
              <w:spacing w:after="0"/>
            </w:pPr>
            <w:r>
              <w:rPr>
                <w:rFonts w:ascii="Calibri" w:hAnsi="Calibri"/>
                <w:b/>
                <w:color w:val="1F4D78"/>
                <w:sz w:val="21"/>
              </w:rPr>
              <w:t>Browser extension</w:t>
            </w:r>
          </w:p>
        </w:tc>
        <w:tc>
          <w:tcPr>
            <w:tcW w:type="dxa" w:w="6660"/>
            <w:tcMar>
              <w:top w:w="80" w:type="dxa"/>
              <w:start w:w="120" w:type="dxa"/>
              <w:bottom w:w="80" w:type="dxa"/>
              <w:end w:w="120" w:type="dxa"/>
            </w:tcMar>
            <w:vAlign w:val="center"/>
          </w:tcPr>
          <w:p>
            <w:pPr>
              <w:spacing w:after="0"/>
            </w:pPr>
            <w:r>
              <w:rPr>
                <w:rFonts w:ascii="Calibri" w:hAnsi="Calibri"/>
                <w:color w:val="141F2D"/>
                <w:sz w:val="21"/>
              </w:rPr>
              <w:t>Chrome extension for Gmail typing-time capture, research capture, client/matter mapping, local retry queueing, and privacy-aware metadata submission.</w:t>
            </w:r>
          </w:p>
        </w:tc>
      </w:tr>
    </w:tbl>
    <w:p>
      <w:pPr>
        <w:pStyle w:val="Heading1"/>
      </w:pPr>
      <w:r>
        <w:t>How Lexora Works</w:t>
      </w:r>
    </w:p>
    <w:p>
      <w:pPr>
        <w:pStyle w:val="ListNumber"/>
        <w:spacing w:after="80" w:line="300" w:lineRule="auto"/>
        <w:ind w:left="540" w:hanging="271"/>
      </w:pPr>
      <w:r>
        <w:rPr>
          <w:rFonts w:ascii="Calibri" w:hAnsi="Calibri"/>
          <w:color w:val="141F2D"/>
          <w:sz w:val="22"/>
        </w:rPr>
        <w:t>A user signs in through the web app or desktop agent.</w:t>
      </w:r>
    </w:p>
    <w:p>
      <w:pPr>
        <w:pStyle w:val="ListNumber"/>
        <w:spacing w:after="80" w:line="300" w:lineRule="auto"/>
        <w:ind w:left="540" w:hanging="271"/>
      </w:pPr>
      <w:r>
        <w:rPr>
          <w:rFonts w:ascii="Calibri" w:hAnsi="Calibri"/>
          <w:color w:val="141F2D"/>
          <w:sz w:val="22"/>
        </w:rPr>
        <w:t>The firm creates clients and matters so each piece of work has legal and billing context.</w:t>
      </w:r>
    </w:p>
    <w:p>
      <w:pPr>
        <w:pStyle w:val="ListNumber"/>
        <w:spacing w:after="80" w:line="300" w:lineRule="auto"/>
        <w:ind w:left="540" w:hanging="271"/>
      </w:pPr>
      <w:r>
        <w:rPr>
          <w:rFonts w:ascii="Calibri" w:hAnsi="Calibri"/>
          <w:color w:val="141F2D"/>
          <w:sz w:val="22"/>
        </w:rPr>
        <w:t>Work is captured manually or automatically from desktop activity, Gmail composition, and browser research.</w:t>
      </w:r>
    </w:p>
    <w:p>
      <w:pPr>
        <w:pStyle w:val="ListNumber"/>
        <w:spacing w:after="80" w:line="300" w:lineRule="auto"/>
        <w:ind w:left="540" w:hanging="271"/>
      </w:pPr>
      <w:r>
        <w:rPr>
          <w:rFonts w:ascii="Calibri" w:hAnsi="Calibri"/>
          <w:color w:val="141F2D"/>
          <w:sz w:val="22"/>
        </w:rPr>
        <w:t>Captured activity is reviewed, mapped to the correct matter, and converted into time entries or billables.</w:t>
      </w:r>
    </w:p>
    <w:p>
      <w:pPr>
        <w:pStyle w:val="ListNumber"/>
        <w:spacing w:after="80" w:line="300" w:lineRule="auto"/>
        <w:ind w:left="540" w:hanging="271"/>
      </w:pPr>
      <w:r>
        <w:rPr>
          <w:rFonts w:ascii="Calibri" w:hAnsi="Calibri"/>
          <w:color w:val="141F2D"/>
          <w:sz w:val="22"/>
        </w:rPr>
        <w:t>Approved billables can be used to build invoices and track payment or receivables status.</w:t>
      </w:r>
    </w:p>
    <w:p>
      <w:pPr>
        <w:pStyle w:val="ListNumber"/>
        <w:spacing w:after="80" w:line="300" w:lineRule="auto"/>
        <w:ind w:left="540" w:hanging="271"/>
      </w:pPr>
      <w:r>
        <w:rPr>
          <w:rFonts w:ascii="Calibri" w:hAnsi="Calibri"/>
          <w:color w:val="141F2D"/>
          <w:sz w:val="22"/>
        </w:rPr>
        <w:t>Dashboards summarize billing, productivity, workforce activity, and firm operations.</w:t>
      </w:r>
    </w:p>
    <w:p>
      <w:pPr>
        <w:pStyle w:val="Heading1"/>
      </w:pPr>
      <w:r>
        <w:t>Recommended Guidde Demo Flow</w:t>
      </w:r>
    </w:p>
    <w:tbl>
      <w:tblPr>
        <w:tblW w:type="dxa" w:w="9360"/>
        <w:jc w:val="left"/>
        <w:tblLayout w:type="fixed"/>
        <w:tblLook w:firstColumn="1" w:firstRow="1" w:lastColumn="0" w:lastRow="0" w:noHBand="0" w:noVBand="1" w:val="04A0"/>
        <w:tblInd w:w="120" w:type="dxa"/>
        <w:tblBorders>
          <w:top w:val="single" w:sz="6" w:space="0" w:color="B8C7D9"/>
          <w:left w:val="single" w:sz="6" w:space="0" w:color="B8C7D9"/>
          <w:bottom w:val="single" w:sz="6" w:space="0" w:color="B8C7D9"/>
          <w:right w:val="single" w:sz="6" w:space="0" w:color="B8C7D9"/>
          <w:insideH w:val="single" w:sz="6" w:space="0" w:color="B8C7D9"/>
          <w:insideV w:val="single" w:sz="6" w:space="0" w:color="B8C7D9"/>
        </w:tblBorders>
      </w:tblPr>
      <w:tblGrid>
        <w:gridCol w:w="3120"/>
        <w:gridCol w:w="3120"/>
        <w:gridCol w:w="3120"/>
      </w:tblGrid>
      <w:tr>
        <w:tc>
          <w:tcPr>
            <w:tcW w:type="dxa" w:w="648"/>
            <w:shd w:fill="E8EEF5"/>
            <w:tcMar>
              <w:top w:w="80" w:type="dxa"/>
              <w:start w:w="120" w:type="dxa"/>
              <w:bottom w:w="80" w:type="dxa"/>
              <w:end w:w="120" w:type="dxa"/>
            </w:tcMar>
          </w:tcPr>
          <w:p>
            <w:r>
              <w:rPr>
                <w:rFonts w:ascii="Calibri" w:hAnsi="Calibri"/>
                <w:b/>
                <w:color w:val="1F4D78"/>
                <w:sz w:val="20"/>
              </w:rPr>
              <w:t>Step</w:t>
            </w:r>
          </w:p>
        </w:tc>
        <w:tc>
          <w:tcPr>
            <w:tcW w:type="dxa" w:w="2232"/>
            <w:shd w:fill="E8EEF5"/>
            <w:tcMar>
              <w:top w:w="80" w:type="dxa"/>
              <w:start w:w="120" w:type="dxa"/>
              <w:bottom w:w="80" w:type="dxa"/>
              <w:end w:w="120" w:type="dxa"/>
            </w:tcMar>
          </w:tcPr>
          <w:p>
            <w:r>
              <w:rPr>
                <w:rFonts w:ascii="Calibri" w:hAnsi="Calibri"/>
                <w:b/>
                <w:color w:val="1F4D78"/>
                <w:sz w:val="20"/>
              </w:rPr>
              <w:t>Screen / action</w:t>
            </w:r>
          </w:p>
        </w:tc>
        <w:tc>
          <w:tcPr>
            <w:tcW w:type="dxa" w:w="6480"/>
            <w:shd w:fill="E8EEF5"/>
            <w:tcMar>
              <w:top w:w="80" w:type="dxa"/>
              <w:start w:w="120" w:type="dxa"/>
              <w:bottom w:w="80" w:type="dxa"/>
              <w:end w:w="120" w:type="dxa"/>
            </w:tcMar>
          </w:tcPr>
          <w:p>
            <w:r>
              <w:rPr>
                <w:rFonts w:ascii="Calibri" w:hAnsi="Calibri"/>
                <w:b/>
                <w:color w:val="1F4D78"/>
                <w:sz w:val="20"/>
              </w:rPr>
              <w:t>Narration point</w:t>
            </w:r>
          </w:p>
        </w:tc>
      </w:tr>
      <w:tr>
        <w:tc>
          <w:tcPr>
            <w:tcW w:type="dxa" w:w="648"/>
            <w:tcMar>
              <w:top w:w="80" w:type="dxa"/>
              <w:start w:w="120" w:type="dxa"/>
              <w:bottom w:w="80" w:type="dxa"/>
              <w:end w:w="120" w:type="dxa"/>
            </w:tcMar>
            <w:vAlign w:val="center"/>
          </w:tcPr>
          <w:p>
            <w:pPr>
              <w:jc w:val="center"/>
            </w:pPr>
            <w:r>
              <w:rPr>
                <w:rFonts w:ascii="Calibri" w:hAnsi="Calibri"/>
                <w:b/>
                <w:color w:val="1F4D78"/>
                <w:sz w:val="21"/>
              </w:rPr>
              <w:t>1</w:t>
            </w:r>
          </w:p>
        </w:tc>
        <w:tc>
          <w:tcPr>
            <w:tcW w:type="dxa" w:w="2232"/>
            <w:tcMar>
              <w:top w:w="80" w:type="dxa"/>
              <w:start w:w="120" w:type="dxa"/>
              <w:bottom w:w="80" w:type="dxa"/>
              <w:end w:w="120" w:type="dxa"/>
            </w:tcMar>
            <w:vAlign w:val="center"/>
          </w:tcPr>
          <w:p>
            <w:r>
              <w:rPr>
                <w:rFonts w:ascii="Calibri" w:hAnsi="Calibri"/>
                <w:b/>
                <w:color w:val="141F2D"/>
                <w:sz w:val="21"/>
              </w:rPr>
              <w:t>Sign in</w:t>
            </w:r>
          </w:p>
        </w:tc>
        <w:tc>
          <w:tcPr>
            <w:tcW w:type="dxa" w:w="6480"/>
            <w:tcMar>
              <w:top w:w="80" w:type="dxa"/>
              <w:start w:w="120" w:type="dxa"/>
              <w:bottom w:w="80" w:type="dxa"/>
              <w:end w:w="120" w:type="dxa"/>
            </w:tcMar>
            <w:vAlign w:val="center"/>
          </w:tcPr>
          <w:p>
            <w:r>
              <w:rPr>
                <w:rFonts w:ascii="Calibri" w:hAnsi="Calibri"/>
                <w:color w:val="141F2D"/>
                <w:sz w:val="21"/>
              </w:rPr>
              <w:t>Show login and explain that Lexora connects legal work to a specific firm user.</w:t>
            </w:r>
          </w:p>
        </w:tc>
      </w:tr>
      <w:tr>
        <w:tc>
          <w:tcPr>
            <w:tcW w:type="dxa" w:w="648"/>
            <w:tcMar>
              <w:top w:w="80" w:type="dxa"/>
              <w:start w:w="120" w:type="dxa"/>
              <w:bottom w:w="80" w:type="dxa"/>
              <w:end w:w="120" w:type="dxa"/>
            </w:tcMar>
            <w:vAlign w:val="center"/>
          </w:tcPr>
          <w:p>
            <w:pPr>
              <w:jc w:val="center"/>
            </w:pPr>
            <w:r>
              <w:rPr>
                <w:rFonts w:ascii="Calibri" w:hAnsi="Calibri"/>
                <w:b/>
                <w:color w:val="1F4D78"/>
                <w:sz w:val="21"/>
              </w:rPr>
              <w:t>2</w:t>
            </w:r>
          </w:p>
        </w:tc>
        <w:tc>
          <w:tcPr>
            <w:tcW w:type="dxa" w:w="2232"/>
            <w:tcMar>
              <w:top w:w="80" w:type="dxa"/>
              <w:start w:w="120" w:type="dxa"/>
              <w:bottom w:w="80" w:type="dxa"/>
              <w:end w:w="120" w:type="dxa"/>
            </w:tcMar>
            <w:vAlign w:val="center"/>
          </w:tcPr>
          <w:p>
            <w:r>
              <w:rPr>
                <w:rFonts w:ascii="Calibri" w:hAnsi="Calibri"/>
                <w:b/>
                <w:color w:val="141F2D"/>
                <w:sz w:val="21"/>
              </w:rPr>
              <w:t>Create or select matter</w:t>
            </w:r>
          </w:p>
        </w:tc>
        <w:tc>
          <w:tcPr>
            <w:tcW w:type="dxa" w:w="6480"/>
            <w:tcMar>
              <w:top w:w="80" w:type="dxa"/>
              <w:start w:w="120" w:type="dxa"/>
              <w:bottom w:w="80" w:type="dxa"/>
              <w:end w:w="120" w:type="dxa"/>
            </w:tcMar>
            <w:vAlign w:val="center"/>
          </w:tcPr>
          <w:p>
            <w:r>
              <w:rPr>
                <w:rFonts w:ascii="Calibri" w:hAnsi="Calibri"/>
                <w:color w:val="141F2D"/>
                <w:sz w:val="21"/>
              </w:rPr>
              <w:t>Open clients and matters to show how legal work is organized by client, matter, team, and billing context.</w:t>
            </w:r>
          </w:p>
        </w:tc>
      </w:tr>
      <w:tr>
        <w:tc>
          <w:tcPr>
            <w:tcW w:type="dxa" w:w="648"/>
            <w:tcMar>
              <w:top w:w="80" w:type="dxa"/>
              <w:start w:w="120" w:type="dxa"/>
              <w:bottom w:w="80" w:type="dxa"/>
              <w:end w:w="120" w:type="dxa"/>
            </w:tcMar>
            <w:vAlign w:val="center"/>
          </w:tcPr>
          <w:p>
            <w:pPr>
              <w:jc w:val="center"/>
            </w:pPr>
            <w:r>
              <w:rPr>
                <w:rFonts w:ascii="Calibri" w:hAnsi="Calibri"/>
                <w:b/>
                <w:color w:val="1F4D78"/>
                <w:sz w:val="21"/>
              </w:rPr>
              <w:t>3</w:t>
            </w:r>
          </w:p>
        </w:tc>
        <w:tc>
          <w:tcPr>
            <w:tcW w:type="dxa" w:w="2232"/>
            <w:tcMar>
              <w:top w:w="80" w:type="dxa"/>
              <w:start w:w="120" w:type="dxa"/>
              <w:bottom w:w="80" w:type="dxa"/>
              <w:end w:w="120" w:type="dxa"/>
            </w:tcMar>
            <w:vAlign w:val="center"/>
          </w:tcPr>
          <w:p>
            <w:r>
              <w:rPr>
                <w:rFonts w:ascii="Calibri" w:hAnsi="Calibri"/>
                <w:b/>
                <w:color w:val="141F2D"/>
                <w:sz w:val="21"/>
              </w:rPr>
              <w:t>Capture work</w:t>
            </w:r>
          </w:p>
        </w:tc>
        <w:tc>
          <w:tcPr>
            <w:tcW w:type="dxa" w:w="6480"/>
            <w:tcMar>
              <w:top w:w="80" w:type="dxa"/>
              <w:start w:w="120" w:type="dxa"/>
              <w:bottom w:w="80" w:type="dxa"/>
              <w:end w:w="120" w:type="dxa"/>
            </w:tcMar>
            <w:vAlign w:val="center"/>
          </w:tcPr>
          <w:p>
            <w:r>
              <w:rPr>
                <w:rFonts w:ascii="Calibri" w:hAnsi="Calibri"/>
                <w:color w:val="141F2D"/>
                <w:sz w:val="21"/>
              </w:rPr>
              <w:t>Demonstrate manual time entry, desktop work meter, Gmail capture, or research capture.</w:t>
            </w:r>
          </w:p>
        </w:tc>
      </w:tr>
      <w:tr>
        <w:tc>
          <w:tcPr>
            <w:tcW w:type="dxa" w:w="648"/>
            <w:tcMar>
              <w:top w:w="80" w:type="dxa"/>
              <w:start w:w="120" w:type="dxa"/>
              <w:bottom w:w="80" w:type="dxa"/>
              <w:end w:w="120" w:type="dxa"/>
            </w:tcMar>
            <w:vAlign w:val="center"/>
          </w:tcPr>
          <w:p>
            <w:pPr>
              <w:jc w:val="center"/>
            </w:pPr>
            <w:r>
              <w:rPr>
                <w:rFonts w:ascii="Calibri" w:hAnsi="Calibri"/>
                <w:b/>
                <w:color w:val="1F4D78"/>
                <w:sz w:val="21"/>
              </w:rPr>
              <w:t>4</w:t>
            </w:r>
          </w:p>
        </w:tc>
        <w:tc>
          <w:tcPr>
            <w:tcW w:type="dxa" w:w="2232"/>
            <w:tcMar>
              <w:top w:w="80" w:type="dxa"/>
              <w:start w:w="120" w:type="dxa"/>
              <w:bottom w:w="80" w:type="dxa"/>
              <w:end w:w="120" w:type="dxa"/>
            </w:tcMar>
            <w:vAlign w:val="center"/>
          </w:tcPr>
          <w:p>
            <w:r>
              <w:rPr>
                <w:rFonts w:ascii="Calibri" w:hAnsi="Calibri"/>
                <w:b/>
                <w:color w:val="141F2D"/>
                <w:sz w:val="21"/>
              </w:rPr>
              <w:t>Review billables</w:t>
            </w:r>
          </w:p>
        </w:tc>
        <w:tc>
          <w:tcPr>
            <w:tcW w:type="dxa" w:w="6480"/>
            <w:tcMar>
              <w:top w:w="80" w:type="dxa"/>
              <w:start w:w="120" w:type="dxa"/>
              <w:bottom w:w="80" w:type="dxa"/>
              <w:end w:w="120" w:type="dxa"/>
            </w:tcMar>
            <w:vAlign w:val="center"/>
          </w:tcPr>
          <w:p>
            <w:r>
              <w:rPr>
                <w:rFonts w:ascii="Calibri" w:hAnsi="Calibri"/>
                <w:color w:val="141F2D"/>
                <w:sz w:val="21"/>
              </w:rPr>
              <w:t>Show captured activity moving into time entries or billable records for review and approval.</w:t>
            </w:r>
          </w:p>
        </w:tc>
      </w:tr>
      <w:tr>
        <w:tc>
          <w:tcPr>
            <w:tcW w:type="dxa" w:w="648"/>
            <w:tcMar>
              <w:top w:w="80" w:type="dxa"/>
              <w:start w:w="120" w:type="dxa"/>
              <w:bottom w:w="80" w:type="dxa"/>
              <w:end w:w="120" w:type="dxa"/>
            </w:tcMar>
            <w:vAlign w:val="center"/>
          </w:tcPr>
          <w:p>
            <w:pPr>
              <w:jc w:val="center"/>
            </w:pPr>
            <w:r>
              <w:rPr>
                <w:rFonts w:ascii="Calibri" w:hAnsi="Calibri"/>
                <w:b/>
                <w:color w:val="1F4D78"/>
                <w:sz w:val="21"/>
              </w:rPr>
              <w:t>5</w:t>
            </w:r>
          </w:p>
        </w:tc>
        <w:tc>
          <w:tcPr>
            <w:tcW w:type="dxa" w:w="2232"/>
            <w:tcMar>
              <w:top w:w="80" w:type="dxa"/>
              <w:start w:w="120" w:type="dxa"/>
              <w:bottom w:w="80" w:type="dxa"/>
              <w:end w:w="120" w:type="dxa"/>
            </w:tcMar>
            <w:vAlign w:val="center"/>
          </w:tcPr>
          <w:p>
            <w:r>
              <w:rPr>
                <w:rFonts w:ascii="Calibri" w:hAnsi="Calibri"/>
                <w:b/>
                <w:color w:val="141F2D"/>
                <w:sz w:val="21"/>
              </w:rPr>
              <w:t>Generate invoice</w:t>
            </w:r>
          </w:p>
        </w:tc>
        <w:tc>
          <w:tcPr>
            <w:tcW w:type="dxa" w:w="6480"/>
            <w:tcMar>
              <w:top w:w="80" w:type="dxa"/>
              <w:start w:w="120" w:type="dxa"/>
              <w:bottom w:w="80" w:type="dxa"/>
              <w:end w:w="120" w:type="dxa"/>
            </w:tcMar>
            <w:vAlign w:val="center"/>
          </w:tcPr>
          <w:p>
            <w:r>
              <w:rPr>
                <w:rFonts w:ascii="Calibri" w:hAnsi="Calibri"/>
                <w:color w:val="141F2D"/>
                <w:sz w:val="21"/>
              </w:rPr>
              <w:t>Open invoice builder and explain how approved billables become client-ready invoices.</w:t>
            </w:r>
          </w:p>
        </w:tc>
      </w:tr>
      <w:tr>
        <w:tc>
          <w:tcPr>
            <w:tcW w:type="dxa" w:w="648"/>
            <w:tcMar>
              <w:top w:w="80" w:type="dxa"/>
              <w:start w:w="120" w:type="dxa"/>
              <w:bottom w:w="80" w:type="dxa"/>
              <w:end w:w="120" w:type="dxa"/>
            </w:tcMar>
            <w:vAlign w:val="center"/>
          </w:tcPr>
          <w:p>
            <w:pPr>
              <w:jc w:val="center"/>
            </w:pPr>
            <w:r>
              <w:rPr>
                <w:rFonts w:ascii="Calibri" w:hAnsi="Calibri"/>
                <w:b/>
                <w:color w:val="1F4D78"/>
                <w:sz w:val="21"/>
              </w:rPr>
              <w:t>6</w:t>
            </w:r>
          </w:p>
        </w:tc>
        <w:tc>
          <w:tcPr>
            <w:tcW w:type="dxa" w:w="2232"/>
            <w:tcMar>
              <w:top w:w="80" w:type="dxa"/>
              <w:start w:w="120" w:type="dxa"/>
              <w:bottom w:w="80" w:type="dxa"/>
              <w:end w:w="120" w:type="dxa"/>
            </w:tcMar>
            <w:vAlign w:val="center"/>
          </w:tcPr>
          <w:p>
            <w:r>
              <w:rPr>
                <w:rFonts w:ascii="Calibri" w:hAnsi="Calibri"/>
                <w:b/>
                <w:color w:val="141F2D"/>
                <w:sz w:val="21"/>
              </w:rPr>
              <w:t>View analytics</w:t>
            </w:r>
          </w:p>
        </w:tc>
        <w:tc>
          <w:tcPr>
            <w:tcW w:type="dxa" w:w="6480"/>
            <w:tcMar>
              <w:top w:w="80" w:type="dxa"/>
              <w:start w:w="120" w:type="dxa"/>
              <w:bottom w:w="80" w:type="dxa"/>
              <w:end w:w="120" w:type="dxa"/>
            </w:tcMar>
            <w:vAlign w:val="center"/>
          </w:tcPr>
          <w:p>
            <w:r>
              <w:rPr>
                <w:rFonts w:ascii="Calibri" w:hAnsi="Calibri"/>
                <w:color w:val="141F2D"/>
                <w:sz w:val="21"/>
              </w:rPr>
              <w:t>Show dashboards for revenue, workforce activity, time, attendance, and billing visibility.</w:t>
            </w:r>
          </w:p>
        </w:tc>
      </w:tr>
    </w:tbl>
    <w:p>
      <w:pPr>
        <w:pStyle w:val="Heading1"/>
      </w:pPr>
      <w:r>
        <w:t>Installation Overview for the Video</w:t>
      </w:r>
    </w:p>
    <w:p>
      <w:r>
        <w:rPr>
          <w:rFonts w:ascii="Calibri" w:hAnsi="Calibri"/>
          <w:color w:val="141F2D"/>
          <w:sz w:val="22"/>
        </w:rPr>
        <w:t>Use this section when recording the installation part of the Guidde video.</w:t>
      </w:r>
    </w:p>
    <w:p>
      <w:pPr>
        <w:pStyle w:val="ListBullet"/>
        <w:spacing w:after="80" w:line="300" w:lineRule="auto"/>
        <w:ind w:left="540" w:hanging="271"/>
      </w:pPr>
      <w:r>
        <w:rPr>
          <w:rFonts w:ascii="Calibri" w:hAnsi="Calibri"/>
          <w:color w:val="141F2D"/>
          <w:sz w:val="22"/>
        </w:rPr>
        <w:t>Start the backend API from apps/api-Lexora using npm install and npm run dev.</w:t>
      </w:r>
    </w:p>
    <w:p>
      <w:pPr>
        <w:pStyle w:val="ListBullet"/>
        <w:spacing w:after="80" w:line="300" w:lineRule="auto"/>
        <w:ind w:left="540" w:hanging="271"/>
      </w:pPr>
      <w:r>
        <w:rPr>
          <w:rFonts w:ascii="Calibri" w:hAnsi="Calibri"/>
          <w:color w:val="141F2D"/>
          <w:sz w:val="22"/>
        </w:rPr>
        <w:t>Start the web dashboard from apps/web-Laxora using npm install and npm run dev.</w:t>
      </w:r>
    </w:p>
    <w:p>
      <w:pPr>
        <w:pStyle w:val="ListBullet"/>
        <w:spacing w:after="80" w:line="300" w:lineRule="auto"/>
        <w:ind w:left="540" w:hanging="271"/>
      </w:pPr>
      <w:r>
        <w:rPr>
          <w:rFonts w:ascii="Calibri" w:hAnsi="Calibri"/>
          <w:color w:val="141F2D"/>
          <w:sz w:val="22"/>
        </w:rPr>
        <w:t>Start the desktop agent from apps/desktop-Lexora using npm install and npm run dev.</w:t>
      </w:r>
    </w:p>
    <w:p>
      <w:pPr>
        <w:pStyle w:val="ListBullet"/>
        <w:spacing w:after="80" w:line="300" w:lineRule="auto"/>
        <w:ind w:left="540" w:hanging="271"/>
      </w:pPr>
      <w:r>
        <w:rPr>
          <w:rFonts w:ascii="Calibri" w:hAnsi="Calibri"/>
          <w:color w:val="141F2D"/>
          <w:sz w:val="22"/>
        </w:rPr>
        <w:t>Load the browser extension from apps/extension through the browser extensions page in Developer Mode.</w:t>
      </w:r>
    </w:p>
    <w:p>
      <w:pPr>
        <w:pStyle w:val="ListBullet"/>
        <w:spacing w:after="80" w:line="300" w:lineRule="auto"/>
        <w:ind w:left="540" w:hanging="271"/>
      </w:pPr>
      <w:r>
        <w:rPr>
          <w:rFonts w:ascii="Calibri" w:hAnsi="Calibri"/>
          <w:color w:val="141F2D"/>
          <w:sz w:val="22"/>
        </w:rPr>
        <w:t>Confirm that the API, web app, desktop agent, and extension are all connected before recording the workflow demo.</w:t>
      </w:r>
    </w:p>
    <w:p>
      <w:pPr>
        <w:pStyle w:val="Heading1"/>
      </w:pPr>
      <w:r>
        <w:t>Features to Highlight</w:t>
      </w:r>
    </w:p>
    <w:p>
      <w:pPr>
        <w:pStyle w:val="Heading2"/>
      </w:pPr>
      <w:r>
        <w:t>For lawyers and associates</w:t>
      </w:r>
    </w:p>
    <w:p>
      <w:pPr>
        <w:pStyle w:val="ListBullet"/>
        <w:spacing w:after="80" w:line="300" w:lineRule="auto"/>
        <w:ind w:left="540" w:hanging="271"/>
      </w:pPr>
      <w:r>
        <w:rPr>
          <w:rFonts w:ascii="Calibri" w:hAnsi="Calibri"/>
          <w:color w:val="141F2D"/>
          <w:sz w:val="22"/>
        </w:rPr>
        <w:t>Track work sessions and manual time entries.</w:t>
      </w:r>
    </w:p>
    <w:p>
      <w:pPr>
        <w:pStyle w:val="ListBullet"/>
        <w:spacing w:after="80" w:line="300" w:lineRule="auto"/>
        <w:ind w:left="540" w:hanging="271"/>
      </w:pPr>
      <w:r>
        <w:rPr>
          <w:rFonts w:ascii="Calibri" w:hAnsi="Calibri"/>
          <w:color w:val="141F2D"/>
          <w:sz w:val="22"/>
        </w:rPr>
        <w:t>Capture Gmail drafting time and browser research.</w:t>
      </w:r>
    </w:p>
    <w:p>
      <w:pPr>
        <w:pStyle w:val="ListBullet"/>
        <w:spacing w:after="80" w:line="300" w:lineRule="auto"/>
        <w:ind w:left="540" w:hanging="271"/>
      </w:pPr>
      <w:r>
        <w:rPr>
          <w:rFonts w:ascii="Calibri" w:hAnsi="Calibri"/>
          <w:color w:val="141F2D"/>
          <w:sz w:val="22"/>
        </w:rPr>
        <w:t>Review captured activity before it becomes billable.</w:t>
      </w:r>
    </w:p>
    <w:p>
      <w:pPr>
        <w:pStyle w:val="ListBullet"/>
        <w:spacing w:after="80" w:line="300" w:lineRule="auto"/>
        <w:ind w:left="540" w:hanging="271"/>
      </w:pPr>
      <w:r>
        <w:rPr>
          <w:rFonts w:ascii="Calibri" w:hAnsi="Calibri"/>
          <w:color w:val="141F2D"/>
          <w:sz w:val="22"/>
        </w:rPr>
        <w:t>Use AI tools for matter questions, document summaries, and drafting support.</w:t>
      </w:r>
    </w:p>
    <w:p>
      <w:pPr>
        <w:pStyle w:val="Heading2"/>
      </w:pPr>
      <w:r>
        <w:t>For partners and administrators</w:t>
      </w:r>
    </w:p>
    <w:p>
      <w:pPr>
        <w:pStyle w:val="ListBullet"/>
        <w:spacing w:after="80" w:line="300" w:lineRule="auto"/>
        <w:ind w:left="540" w:hanging="271"/>
      </w:pPr>
      <w:r>
        <w:rPr>
          <w:rFonts w:ascii="Calibri" w:hAnsi="Calibri"/>
          <w:color w:val="141F2D"/>
          <w:sz w:val="22"/>
        </w:rPr>
        <w:t>Manage clients, matters, teams, tasks, permissions, and firm settings.</w:t>
      </w:r>
    </w:p>
    <w:p>
      <w:pPr>
        <w:pStyle w:val="ListBullet"/>
        <w:spacing w:after="80" w:line="300" w:lineRule="auto"/>
        <w:ind w:left="540" w:hanging="271"/>
      </w:pPr>
      <w:r>
        <w:rPr>
          <w:rFonts w:ascii="Calibri" w:hAnsi="Calibri"/>
          <w:color w:val="141F2D"/>
          <w:sz w:val="22"/>
        </w:rPr>
        <w:t>Approve billables and create invoices from approved legal work.</w:t>
      </w:r>
    </w:p>
    <w:p>
      <w:pPr>
        <w:pStyle w:val="ListBullet"/>
        <w:spacing w:after="80" w:line="300" w:lineRule="auto"/>
        <w:ind w:left="540" w:hanging="271"/>
      </w:pPr>
      <w:r>
        <w:rPr>
          <w:rFonts w:ascii="Calibri" w:hAnsi="Calibri"/>
          <w:color w:val="141F2D"/>
          <w:sz w:val="22"/>
        </w:rPr>
        <w:t>Monitor finance, payments, receivables, workforce, attendance, and productivity analytics.</w:t>
      </w:r>
    </w:p>
    <w:p>
      <w:pPr>
        <w:pStyle w:val="ListBullet"/>
        <w:spacing w:after="80" w:line="300" w:lineRule="auto"/>
        <w:ind w:left="540" w:hanging="271"/>
      </w:pPr>
      <w:r>
        <w:rPr>
          <w:rFonts w:ascii="Calibri" w:hAnsi="Calibri"/>
          <w:color w:val="141F2D"/>
          <w:sz w:val="22"/>
        </w:rPr>
        <w:t>Use audit and compliance views to understand activity history and system state.</w:t>
      </w:r>
    </w:p>
    <w:p>
      <w:pPr>
        <w:pStyle w:val="Heading1"/>
      </w:pPr>
      <w:r>
        <w:t>Privacy and Reliability Points</w:t>
      </w:r>
    </w:p>
    <w:p>
      <w:pPr>
        <w:pStyle w:val="ListBullet"/>
        <w:spacing w:after="80" w:line="300" w:lineRule="auto"/>
        <w:ind w:left="540" w:hanging="271"/>
      </w:pPr>
      <w:r>
        <w:rPr>
          <w:rFonts w:ascii="Calibri" w:hAnsi="Calibri"/>
          <w:color w:val="141F2D"/>
          <w:sz w:val="22"/>
        </w:rPr>
        <w:t>The Gmail extension focuses on metadata such as recipient, subject, user identity, timing, source references, and mapping data rather than sending email body text.</w:t>
      </w:r>
    </w:p>
    <w:p>
      <w:pPr>
        <w:pStyle w:val="ListBullet"/>
        <w:spacing w:after="80" w:line="300" w:lineRule="auto"/>
        <w:ind w:left="540" w:hanging="271"/>
      </w:pPr>
      <w:r>
        <w:rPr>
          <w:rFonts w:ascii="Calibri" w:hAnsi="Calibri"/>
          <w:color w:val="141F2D"/>
          <w:sz w:val="22"/>
        </w:rPr>
        <w:t>Captured browser activity can be queued locally and retried if the backend is offline or a request fails.</w:t>
      </w:r>
    </w:p>
    <w:p>
      <w:pPr>
        <w:pStyle w:val="ListBullet"/>
        <w:spacing w:after="80" w:line="300" w:lineRule="auto"/>
        <w:ind w:left="540" w:hanging="271"/>
      </w:pPr>
      <w:r>
        <w:rPr>
          <w:rFonts w:ascii="Calibri" w:hAnsi="Calibri"/>
          <w:color w:val="141F2D"/>
          <w:sz w:val="22"/>
        </w:rPr>
        <w:t>Client and matter mapping keeps captured work tied to the correct legal context before billing.</w:t>
      </w:r>
    </w:p>
    <w:p>
      <w:pPr>
        <w:pStyle w:val="ListBullet"/>
        <w:spacing w:after="80" w:line="300" w:lineRule="auto"/>
        <w:ind w:left="540" w:hanging="271"/>
      </w:pPr>
      <w:r>
        <w:rPr>
          <w:rFonts w:ascii="Calibri" w:hAnsi="Calibri"/>
          <w:color w:val="141F2D"/>
          <w:sz w:val="22"/>
        </w:rPr>
        <w:t>Role-based access and protected routes keep users focused on the screens they are allowed to use.</w:t>
      </w:r>
    </w:p>
    <w:p>
      <w:pPr>
        <w:pStyle w:val="Heading1"/>
      </w:pPr>
      <w:r>
        <w:t>Suggested Closing Narration</w:t>
      </w:r>
    </w:p>
    <w:p>
      <w:r>
        <w:rPr>
          <w:rFonts w:ascii="Calibri" w:hAnsi="Calibri"/>
          <w:color w:val="141F2D"/>
          <w:sz w:val="22"/>
        </w:rPr>
        <w:t>Lexora brings legal operations, activity capture, billing review, and invoicing into one connected workflow. The result is less missed time, clearer matter-level visibility, and a smoother path from daily legal work to accurate client billing.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4"/>
        <w:sz w:val="18"/>
      </w:rPr>
      <w:t>Lexora overview | Guidde demo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1F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