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i w:val="0"/>
          <w:color w:val="117A8B"/>
          <w:sz w:val="19"/>
        </w:rPr>
        <w:t>PRODUCT REQUIREMENTS + SCRUM DELIVERY PACK</w:t>
      </w:r>
    </w:p>
    <w:p>
      <w:pPr>
        <w:pStyle w:val="Title"/>
      </w:pPr>
      <w:r>
        <w:t>Lexora Solo-Lawyer MVP</w:t>
      </w:r>
    </w:p>
    <w:p>
      <w:pPr>
        <w:pStyle w:val="Subtitle"/>
      </w:pPr>
      <w:r>
        <w:t>Eight-week implementation plan for a focused legal work-to-payment platform</w:t>
      </w:r>
    </w:p>
    <w:tbl>
      <w:tblPr>
        <w:tblStyle w:val="TableGrid"/>
        <w:tblW w:type="dxa" w:w="9360"/>
        <w:jc w:val="left"/>
        <w:tblLayout w:type="fixed"/>
        <w:tblLook w:firstColumn="1" w:firstRow="1" w:lastColumn="0" w:lastRow="0" w:noHBand="0" w:noVBand="1" w:val="04A0"/>
        <w:tblInd w:type="dxa" w:w="120"/>
      </w:tblPr>
      <w:tblGrid>
        <w:gridCol w:w="2376"/>
        <w:gridCol w:w="6984"/>
      </w:tblGrid>
      <w:tr>
        <w:trPr>
          <w:tblHeader w:val="true"/>
        </w:trPr>
        <w:tc>
          <w:tcPr>
            <w:tcW w:type="dxa" w:w="237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Plan</w:t>
            </w:r>
          </w:p>
        </w:tc>
        <w:tc>
          <w:tcPr>
            <w:tcW w:type="dxa" w:w="698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Decision</w:t>
            </w:r>
          </w:p>
        </w:tc>
      </w:tr>
      <w:tr>
        <w:trPr/>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Target user</w:t>
            </w:r>
          </w:p>
        </w:tc>
        <w:tc>
          <w:tcPr>
            <w:tcW w:type="dxa" w:w="698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Independent lawyers and solo practitioners in India</w:t>
            </w:r>
          </w:p>
        </w:tc>
      </w:tr>
      <w:tr>
        <w:trPr/>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Core promise</w:t>
            </w:r>
          </w:p>
        </w:tc>
        <w:tc>
          <w:tcPr>
            <w:tcW w:type="dxa" w:w="698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Capture every piece of legal work and turn it into a paid invoice with minimal effort.</w:t>
            </w:r>
          </w:p>
        </w:tc>
      </w:tr>
      <w:tr>
        <w:trPr/>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Delivery model</w:t>
            </w:r>
          </w:p>
        </w:tc>
        <w:tc>
          <w:tcPr>
            <w:tcW w:type="dxa" w:w="698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8 weeks / 4 two-week sprints / 320 hours total capacity</w:t>
            </w:r>
          </w:p>
        </w:tc>
      </w:tr>
      <w:tr>
        <w:trPr/>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Release target</w:t>
            </w:r>
          </w:p>
        </w:tc>
        <w:tc>
          <w:tcPr>
            <w:tcW w:type="dxa" w:w="698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Controlled MVP pilot with 3-5 independent lawyers</w:t>
            </w:r>
          </w:p>
        </w:tc>
      </w:tr>
      <w:tr>
        <w:trPr/>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Repository</w:t>
            </w:r>
          </w:p>
        </w:tc>
        <w:tc>
          <w:tcPr>
            <w:tcW w:type="dxa" w:w="698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E:\LexoraV1</w:t>
            </w:r>
          </w:p>
        </w:tc>
      </w:tr>
      <w:tr>
        <w:trPr/>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Integration branch</w:t>
            </w:r>
          </w:p>
        </w:tc>
        <w:tc>
          <w:tcPr>
            <w:tcW w:type="dxa" w:w="698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20"/>
              </w:rPr>
              <w:t>codex/solo-lawyer-mvp</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PRODUCT DECISION</w:t>
            </w:r>
          </w:p>
          <w:p>
            <w:pPr>
              <w:spacing w:after="0"/>
            </w:pPr>
            <w:r>
              <w:rPr>
                <w:rFonts w:ascii="Calibri" w:hAnsi="Calibri"/>
                <w:b/>
                <w:i w:val="0"/>
                <w:color w:val="17324D"/>
                <w:sz w:val="22"/>
              </w:rPr>
              <w:t>Position Lexora as a solo-lawyer work-to-payment product, not a legal ERP. Keep one owner per workspace, remove team approvals from the experience, and retain strict workspace isolation between customers.</w:t>
            </w:r>
          </w:p>
        </w:tc>
      </w:tr>
    </w:tbl>
    <w:p>
      <w:pPr>
        <w:spacing w:after="20"/>
      </w:pPr>
    </w:p>
    <w:p>
      <w:pPr>
        <w:pStyle w:val="Heading1"/>
      </w:pPr>
      <w:r>
        <w:t>1. Product strategy</w:t>
      </w:r>
    </w:p>
    <w:p>
      <w:pPr>
        <w:pStyle w:val="Heading2"/>
      </w:pPr>
      <w:r>
        <w:t>Problem</w:t>
      </w:r>
    </w:p>
    <w:p>
      <w:r>
        <w:t>Independent lawyers lose billable time across email, research, calls, drafting and court work; reconstructing that work later delays invoicing and obscures collections. Lexora should make capture and billing a single, low-friction daily habit.</w:t>
      </w:r>
    </w:p>
    <w:p>
      <w:pPr>
        <w:pStyle w:val="Heading2"/>
      </w:pPr>
      <w:r>
        <w:t>North-star workflow</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9F7F5"/>
            <w:tcBorders>
              <w:top w:val="single" w:sz="8" w:color="147D64"/>
              <w:left w:val="single" w:sz="8" w:color="147D64"/>
              <w:bottom w:val="single" w:sz="8" w:color="147D64"/>
              <w:right w:val="single" w:sz="8" w:color="147D64"/>
              <w:insideH w:val="single" w:sz="8" w:color="147D64"/>
              <w:insideV w:val="single" w:sz="8" w:color="147D64"/>
            </w:tcBorders>
            <w:tcMar>
              <w:top w:w="80" w:type="dxa"/>
              <w:bottom w:w="80" w:type="dxa"/>
              <w:start w:w="120" w:type="dxa"/>
              <w:end w:w="120" w:type="dxa"/>
            </w:tcMar>
          </w:tcPr>
          <w:p>
            <w:pPr>
              <w:spacing w:after="60"/>
            </w:pPr>
            <w:r>
              <w:rPr>
                <w:rFonts w:ascii="Calibri" w:hAnsi="Calibri"/>
                <w:b/>
                <w:i w:val="0"/>
                <w:color w:val="147D64"/>
                <w:sz w:val="18"/>
              </w:rPr>
              <w:t>WORKFLOW</w:t>
            </w:r>
          </w:p>
          <w:p>
            <w:pPr>
              <w:spacing w:after="0"/>
            </w:pPr>
            <w:r>
              <w:rPr>
                <w:rFonts w:ascii="Calibri" w:hAnsi="Calibri"/>
                <w:b/>
                <w:i w:val="0"/>
                <w:color w:val="17324D"/>
                <w:sz w:val="22"/>
              </w:rPr>
              <w:t>Login -&gt; Client -&gt; Matter -&gt; Task -&gt; Work Capture -&gt; Review Time -&gt; Billable -&gt; Invoice -&gt; Send -&gt; Payment -&gt; Income and Outstanding Reports</w:t>
            </w:r>
          </w:p>
        </w:tc>
      </w:tr>
    </w:tbl>
    <w:p>
      <w:pPr>
        <w:spacing w:after="20"/>
      </w:pPr>
    </w:p>
    <w:p>
      <w:pPr>
        <w:pStyle w:val="Heading2"/>
      </w:pPr>
      <w:r>
        <w:t>Product objectives and measures</w:t>
      </w:r>
    </w:p>
    <w:tbl>
      <w:tblPr>
        <w:tblStyle w:val="TableGrid"/>
        <w:tblW w:type="dxa" w:w="9360"/>
        <w:jc w:val="left"/>
        <w:tblLayout w:type="fixed"/>
        <w:tblLook w:firstColumn="1" w:firstRow="1" w:lastColumn="0" w:lastRow="0" w:noHBand="0" w:noVBand="1" w:val="04A0"/>
        <w:tblInd w:type="dxa" w:w="120"/>
      </w:tblPr>
      <w:tblGrid>
        <w:gridCol w:w="792"/>
        <w:gridCol w:w="3168"/>
        <w:gridCol w:w="5400"/>
      </w:tblGrid>
      <w:tr>
        <w:trPr>
          <w:tblHeader w:val="true"/>
        </w:trPr>
        <w:tc>
          <w:tcPr>
            <w:tcW w:type="dxa" w:w="79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ID</w:t>
            </w:r>
          </w:p>
        </w:tc>
        <w:tc>
          <w:tcPr>
            <w:tcW w:type="dxa" w:w="316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Objective</w:t>
            </w:r>
          </w:p>
        </w:tc>
        <w:tc>
          <w:tcPr>
            <w:tcW w:type="dxa" w:w="540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Pilot success measure</w:t>
            </w:r>
          </w:p>
        </w:tc>
      </w:tr>
      <w:tr>
        <w:trPr/>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O1</w:t>
            </w:r>
          </w:p>
        </w:tc>
        <w:tc>
          <w:tcPr>
            <w:tcW w:type="dxa" w:w="316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Reduce lost billable work</w:t>
            </w:r>
          </w:p>
        </w:tc>
        <w:tc>
          <w:tcPr>
            <w:tcW w:type="dxa" w:w="54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At least 80% of pilot work entries are captured on the day performed</w:t>
            </w:r>
          </w:p>
        </w:tc>
      </w:tr>
      <w:tr>
        <w:trPr/>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O2</w:t>
            </w:r>
          </w:p>
        </w:tc>
        <w:tc>
          <w:tcPr>
            <w:tcW w:type="dxa" w:w="316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Shorten work-to-invoice time</w:t>
            </w:r>
          </w:p>
        </w:tc>
        <w:tc>
          <w:tcPr>
            <w:tcW w:type="dxa" w:w="54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Median time from ready-to-bill work to sent invoice is under 10 minutes</w:t>
            </w:r>
          </w:p>
        </w:tc>
      </w:tr>
      <w:tr>
        <w:trPr/>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O3</w:t>
            </w:r>
          </w:p>
        </w:tc>
        <w:tc>
          <w:tcPr>
            <w:tcW w:type="dxa" w:w="316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Make collections visible</w:t>
            </w:r>
          </w:p>
        </w:tc>
        <w:tc>
          <w:tcPr>
            <w:tcW w:type="dxa" w:w="54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Every sent invoice has an accurate outstanding balance and aging bucket</w:t>
            </w:r>
          </w:p>
        </w:tc>
      </w:tr>
      <w:tr>
        <w:trPr/>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O4</w:t>
            </w:r>
          </w:p>
        </w:tc>
        <w:tc>
          <w:tcPr>
            <w:tcW w:type="dxa" w:w="316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Earn pilot trust</w:t>
            </w:r>
          </w:p>
        </w:tc>
        <w:tc>
          <w:tcPr>
            <w:tcW w:type="dxa" w:w="54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Zero cross-workspace access defects and zero duplicate-billing defects</w:t>
            </w:r>
          </w:p>
        </w:tc>
      </w:tr>
    </w:tbl>
    <w:p>
      <w:pPr>
        <w:spacing w:after="20"/>
      </w:pPr>
    </w:p>
    <w:p>
      <w:pPr>
        <w:pStyle w:val="Heading2"/>
      </w:pPr>
      <w:r>
        <w:t>MVP scope</w:t>
      </w:r>
    </w:p>
    <w:p>
      <w:pPr>
        <w:pStyle w:val="ListBullet"/>
        <w:spacing w:after="80" w:line="300" w:lineRule="auto"/>
        <w:ind w:left="540" w:hanging="271"/>
      </w:pPr>
      <w:r>
        <w:rPr>
          <w:rFonts w:ascii="Calibri" w:hAnsi="Calibri"/>
          <w:b w:val="0"/>
          <w:i w:val="0"/>
          <w:color w:val="182230"/>
          <w:sz w:val="22"/>
        </w:rPr>
        <w:t>Single-owner account, onboarding and practice settings</w:t>
      </w:r>
    </w:p>
    <w:p>
      <w:pPr>
        <w:pStyle w:val="ListBullet"/>
        <w:spacing w:after="80" w:line="300" w:lineRule="auto"/>
        <w:ind w:left="540" w:hanging="271"/>
      </w:pPr>
      <w:r>
        <w:rPr>
          <w:rFonts w:ascii="Calibri" w:hAnsi="Calibri"/>
          <w:b w:val="0"/>
          <w:i w:val="0"/>
          <w:color w:val="182230"/>
          <w:sz w:val="22"/>
        </w:rPr>
        <w:t>Clients, contacts and balances</w:t>
      </w:r>
    </w:p>
    <w:p>
      <w:pPr>
        <w:pStyle w:val="ListBullet"/>
        <w:spacing w:after="80" w:line="300" w:lineRule="auto"/>
        <w:ind w:left="540" w:hanging="271"/>
      </w:pPr>
      <w:r>
        <w:rPr>
          <w:rFonts w:ascii="Calibri" w:hAnsi="Calibri"/>
          <w:b w:val="0"/>
          <w:i w:val="0"/>
          <w:color w:val="182230"/>
          <w:sz w:val="22"/>
        </w:rPr>
        <w:t>Matters, court details, tasks and financial summaries</w:t>
      </w:r>
    </w:p>
    <w:p>
      <w:pPr>
        <w:pStyle w:val="ListBullet"/>
        <w:spacing w:after="80" w:line="300" w:lineRule="auto"/>
        <w:ind w:left="540" w:hanging="271"/>
      </w:pPr>
      <w:r>
        <w:rPr>
          <w:rFonts w:ascii="Calibri" w:hAnsi="Calibri"/>
          <w:b w:val="0"/>
          <w:i w:val="0"/>
          <w:color w:val="182230"/>
          <w:sz w:val="22"/>
        </w:rPr>
        <w:t>Web/manual/Gmail/research work capture with recovery</w:t>
      </w:r>
    </w:p>
    <w:p>
      <w:pPr>
        <w:pStyle w:val="ListBullet"/>
        <w:spacing w:after="80" w:line="300" w:lineRule="auto"/>
        <w:ind w:left="540" w:hanging="271"/>
      </w:pPr>
      <w:r>
        <w:rPr>
          <w:rFonts w:ascii="Calibri" w:hAnsi="Calibri"/>
          <w:b w:val="0"/>
          <w:i w:val="0"/>
          <w:color w:val="182230"/>
          <w:sz w:val="22"/>
        </w:rPr>
        <w:t>Owner-operated work review: Draft -&gt; Ready to Bill -&gt; Excluded</w:t>
      </w:r>
    </w:p>
    <w:p>
      <w:pPr>
        <w:pStyle w:val="ListBullet"/>
        <w:spacing w:after="80" w:line="300" w:lineRule="auto"/>
        <w:ind w:left="540" w:hanging="271"/>
      </w:pPr>
      <w:r>
        <w:rPr>
          <w:rFonts w:ascii="Calibri" w:hAnsi="Calibri"/>
          <w:b w:val="0"/>
          <w:i w:val="0"/>
          <w:color w:val="182230"/>
          <w:sz w:val="22"/>
        </w:rPr>
        <w:t>Rates, billables, expenses and unbilled WIP</w:t>
      </w:r>
    </w:p>
    <w:p>
      <w:pPr>
        <w:pStyle w:val="ListBullet"/>
        <w:spacing w:after="80" w:line="300" w:lineRule="auto"/>
        <w:ind w:left="540" w:hanging="271"/>
      </w:pPr>
      <w:r>
        <w:rPr>
          <w:rFonts w:ascii="Calibri" w:hAnsi="Calibri"/>
          <w:b w:val="0"/>
          <w:i w:val="0"/>
          <w:color w:val="182230"/>
          <w:sz w:val="22"/>
        </w:rPr>
        <w:t>Professional GST invoice, PDF, delivery and revisions</w:t>
      </w:r>
    </w:p>
    <w:p>
      <w:pPr>
        <w:pStyle w:val="ListBullet"/>
        <w:spacing w:after="80" w:line="300" w:lineRule="auto"/>
        <w:ind w:left="540" w:hanging="271"/>
      </w:pPr>
      <w:r>
        <w:rPr>
          <w:rFonts w:ascii="Calibri" w:hAnsi="Calibri"/>
          <w:b w:val="0"/>
          <w:i w:val="0"/>
          <w:color w:val="182230"/>
          <w:sz w:val="22"/>
        </w:rPr>
        <w:t>Full/partial payments, receipts, write-offs and aging</w:t>
      </w:r>
    </w:p>
    <w:p>
      <w:pPr>
        <w:pStyle w:val="ListBullet"/>
        <w:spacing w:after="80" w:line="300" w:lineRule="auto"/>
        <w:ind w:left="540" w:hanging="271"/>
      </w:pPr>
      <w:r>
        <w:rPr>
          <w:rFonts w:ascii="Calibri" w:hAnsi="Calibri"/>
          <w:b w:val="0"/>
          <w:i w:val="0"/>
          <w:color w:val="182230"/>
          <w:sz w:val="22"/>
        </w:rPr>
        <w:t>Daily dashboard, income, WIP and outstanding reports</w:t>
      </w:r>
    </w:p>
    <w:p>
      <w:pPr>
        <w:pStyle w:val="Heading2"/>
      </w:pPr>
      <w:r>
        <w:t>Explicit non-goals</w:t>
      </w:r>
    </w:p>
    <w:p>
      <w:pPr>
        <w:pStyle w:val="ListBullet"/>
        <w:spacing w:after="80" w:line="300" w:lineRule="auto"/>
        <w:ind w:left="540" w:hanging="271"/>
      </w:pPr>
      <w:r>
        <w:rPr>
          <w:rFonts w:ascii="Calibri" w:hAnsi="Calibri"/>
          <w:b w:val="0"/>
          <w:i w:val="0"/>
          <w:color w:val="182230"/>
          <w:sz w:val="22"/>
        </w:rPr>
        <w:t>Multi-user firm administration</w:t>
      </w:r>
    </w:p>
    <w:p>
      <w:pPr>
        <w:pStyle w:val="ListBullet"/>
        <w:spacing w:after="80" w:line="300" w:lineRule="auto"/>
        <w:ind w:left="540" w:hanging="271"/>
      </w:pPr>
      <w:r>
        <w:rPr>
          <w:rFonts w:ascii="Calibri" w:hAnsi="Calibri"/>
          <w:b w:val="0"/>
          <w:i w:val="0"/>
          <w:color w:val="182230"/>
          <w:sz w:val="22"/>
        </w:rPr>
        <w:t>RBAC and team permissions</w:t>
      </w:r>
    </w:p>
    <w:p>
      <w:pPr>
        <w:pStyle w:val="ListBullet"/>
        <w:spacing w:after="80" w:line="300" w:lineRule="auto"/>
        <w:ind w:left="540" w:hanging="271"/>
      </w:pPr>
      <w:r>
        <w:rPr>
          <w:rFonts w:ascii="Calibri" w:hAnsi="Calibri"/>
          <w:b w:val="0"/>
          <w:i w:val="0"/>
          <w:color w:val="182230"/>
          <w:sz w:val="22"/>
        </w:rPr>
        <w:t>Partner or billing-manager approvals</w:t>
      </w:r>
    </w:p>
    <w:p>
      <w:pPr>
        <w:pStyle w:val="ListBullet"/>
        <w:spacing w:after="80" w:line="300" w:lineRule="auto"/>
        <w:ind w:left="540" w:hanging="271"/>
      </w:pPr>
      <w:r>
        <w:rPr>
          <w:rFonts w:ascii="Calibri" w:hAnsi="Calibri"/>
          <w:b w:val="0"/>
          <w:i w:val="0"/>
          <w:color w:val="182230"/>
          <w:sz w:val="22"/>
        </w:rPr>
        <w:t>Attendance, HR and payroll</w:t>
      </w:r>
    </w:p>
    <w:p>
      <w:pPr>
        <w:pStyle w:val="ListBullet"/>
        <w:spacing w:after="80" w:line="300" w:lineRule="auto"/>
        <w:ind w:left="540" w:hanging="271"/>
      </w:pPr>
      <w:r>
        <w:rPr>
          <w:rFonts w:ascii="Calibri" w:hAnsi="Calibri"/>
          <w:b w:val="0"/>
          <w:i w:val="0"/>
          <w:color w:val="182230"/>
          <w:sz w:val="22"/>
        </w:rPr>
        <w:t>Workforce monitoring and analytics</w:t>
      </w:r>
    </w:p>
    <w:p>
      <w:pPr>
        <w:pStyle w:val="ListBullet"/>
        <w:spacing w:after="80" w:line="300" w:lineRule="auto"/>
        <w:ind w:left="540" w:hanging="271"/>
      </w:pPr>
      <w:r>
        <w:rPr>
          <w:rFonts w:ascii="Calibri" w:hAnsi="Calibri"/>
          <w:b w:val="0"/>
          <w:i w:val="0"/>
          <w:color w:val="182230"/>
          <w:sz w:val="22"/>
        </w:rPr>
        <w:t>Trust accounting and general ledger</w:t>
      </w:r>
    </w:p>
    <w:p>
      <w:pPr>
        <w:pStyle w:val="ListBullet"/>
        <w:spacing w:after="80" w:line="300" w:lineRule="auto"/>
        <w:ind w:left="540" w:hanging="271"/>
      </w:pPr>
      <w:r>
        <w:rPr>
          <w:rFonts w:ascii="Calibri" w:hAnsi="Calibri"/>
          <w:b w:val="0"/>
          <w:i w:val="0"/>
          <w:color w:val="182230"/>
          <w:sz w:val="22"/>
        </w:rPr>
        <w:t>WhatsApp/SMS and meeting recording</w:t>
      </w:r>
    </w:p>
    <w:p>
      <w:pPr>
        <w:pStyle w:val="ListBullet"/>
        <w:spacing w:after="80" w:line="300" w:lineRule="auto"/>
        <w:ind w:left="540" w:hanging="271"/>
      </w:pPr>
      <w:r>
        <w:rPr>
          <w:rFonts w:ascii="Calibri" w:hAnsi="Calibri"/>
          <w:b w:val="0"/>
          <w:i w:val="0"/>
          <w:color w:val="182230"/>
          <w:sz w:val="22"/>
        </w:rPr>
        <w:t>Automatic court feed or legal research AI</w:t>
      </w:r>
    </w:p>
    <w:p>
      <w:pPr>
        <w:pStyle w:val="ListBullet"/>
        <w:spacing w:after="80" w:line="300" w:lineRule="auto"/>
        <w:ind w:left="540" w:hanging="271"/>
      </w:pPr>
      <w:r>
        <w:rPr>
          <w:rFonts w:ascii="Calibri" w:hAnsi="Calibri"/>
          <w:b w:val="0"/>
          <w:i w:val="0"/>
          <w:color w:val="182230"/>
          <w:sz w:val="22"/>
        </w:rPr>
        <w:t>Native mobile applications</w:t>
      </w:r>
    </w:p>
    <w:p>
      <w:pPr>
        <w:pStyle w:val="ListBullet"/>
        <w:spacing w:after="80" w:line="300" w:lineRule="auto"/>
        <w:ind w:left="540" w:hanging="271"/>
      </w:pPr>
      <w:r>
        <w:rPr>
          <w:rFonts w:ascii="Calibri" w:hAnsi="Calibri"/>
          <w:b w:val="0"/>
          <w:i w:val="0"/>
          <w:color w:val="182230"/>
          <w:sz w:val="22"/>
        </w:rPr>
        <w:t>Deep CRM/ERP integrations during MVP</w:t>
      </w:r>
    </w:p>
    <w:p>
      <w:pPr>
        <w:pStyle w:val="Heading1"/>
        <w:pageBreakBefore/>
      </w:pPr>
      <w:r>
        <w:t>2. Scrum delivery model</w:t>
      </w:r>
    </w:p>
    <w:p>
      <w:r>
        <w:t>The implementation uses four two-week sprints. The solo developer is Product Owner, engineer and release owner; AI is used for bounded implementation and test tasks, while product decisions, integration, security and financial verification remain human-owned.</w:t>
      </w:r>
    </w:p>
    <w:tbl>
      <w:tblPr>
        <w:tblStyle w:val="TableGrid"/>
        <w:tblW w:type="dxa" w:w="9360"/>
        <w:jc w:val="left"/>
        <w:tblLayout w:type="fixed"/>
        <w:tblLook w:firstColumn="1" w:firstRow="1" w:lastColumn="0" w:lastRow="0" w:noHBand="0" w:noVBand="1" w:val="04A0"/>
        <w:tblInd w:type="dxa" w:w="120"/>
      </w:tblPr>
      <w:tblGrid>
        <w:gridCol w:w="1152"/>
        <w:gridCol w:w="2664"/>
        <w:gridCol w:w="792"/>
        <w:gridCol w:w="792"/>
        <w:gridCol w:w="792"/>
        <w:gridCol w:w="3168"/>
      </w:tblGrid>
      <w:tr>
        <w:trPr>
          <w:tblHeader w:val="true"/>
        </w:trPr>
        <w:tc>
          <w:tcPr>
            <w:tcW w:type="dxa" w:w="115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Sprint</w:t>
            </w:r>
          </w:p>
        </w:tc>
        <w:tc>
          <w:tcPr>
            <w:tcW w:type="dxa" w:w="266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Goal</w:t>
            </w:r>
          </w:p>
        </w:tc>
        <w:tc>
          <w:tcPr>
            <w:tcW w:type="dxa" w:w="79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Branches</w:t>
            </w:r>
          </w:p>
        </w:tc>
        <w:tc>
          <w:tcPr>
            <w:tcW w:type="dxa" w:w="79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Plan</w:t>
            </w:r>
          </w:p>
        </w:tc>
        <w:tc>
          <w:tcPr>
            <w:tcW w:type="dxa" w:w="79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Buffer</w:t>
            </w:r>
          </w:p>
        </w:tc>
        <w:tc>
          <w:tcPr>
            <w:tcW w:type="dxa" w:w="316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Sprint review demo</w:t>
            </w:r>
          </w:p>
        </w:tc>
      </w:tr>
      <w:tr>
        <w:trPr/>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S1</w:t>
              <w:br/>
              <w:t>Weeks 1-2</w:t>
            </w:r>
          </w:p>
        </w:tc>
        <w:tc>
          <w:tcPr>
            <w:tcW w:type="dxa" w:w="26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Create the secure solo account foundation and reliable client/matter system.</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A-D</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72 h</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8 h</w:t>
            </w:r>
          </w:p>
        </w:tc>
        <w:tc>
          <w:tcPr>
            <w:tcW w:type="dxa" w:w="316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Register a solo account, complete onboarding, create a client and matter, and prove workspace isolation.</w:t>
            </w:r>
          </w:p>
        </w:tc>
      </w:tr>
      <w:tr>
        <w:trPr/>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S2</w:t>
              <w:br/>
              <w:t>Weeks 3-4</w:t>
            </w:r>
          </w:p>
        </w:tc>
        <w:tc>
          <w:tcPr>
            <w:tcW w:type="dxa" w:w="266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Capture legal work from tasks, timer, manual entry, Gmail and research into one review queue.</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E-H</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72 h</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8 h</w:t>
            </w:r>
          </w:p>
        </w:tc>
        <w:tc>
          <w:tcPr>
            <w:tcW w:type="dxa" w:w="316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Start work from a task, stop the timer, recover an offline capture and review one unified work entry.</w:t>
            </w:r>
          </w:p>
        </w:tc>
      </w:tr>
      <w:tr>
        <w:trPr/>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S3</w:t>
              <w:br/>
              <w:t>Weeks 5-6</w:t>
            </w:r>
          </w:p>
        </w:tc>
        <w:tc>
          <w:tcPr>
            <w:tcW w:type="dxa" w:w="26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Turn reviewed work and expenses into accurate, professional invoices.</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I-L</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72 h</w:t>
            </w:r>
          </w:p>
        </w:tc>
        <w:tc>
          <w:tcPr>
            <w:tcW w:type="dxa" w:w="7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8 h</w:t>
            </w:r>
          </w:p>
        </w:tc>
        <w:tc>
          <w:tcPr>
            <w:tcW w:type="dxa" w:w="316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Review time, apply a rate, add an expense, generate and lock a GST invoice PDF.</w:t>
            </w:r>
          </w:p>
        </w:tc>
      </w:tr>
      <w:tr>
        <w:trPr/>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S4</w:t>
              <w:br/>
              <w:t>Weeks 7-8</w:t>
            </w:r>
          </w:p>
        </w:tc>
        <w:tc>
          <w:tcPr>
            <w:tcW w:type="dxa" w:w="266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Send invoices, record payments, report income/outstanding balances and launch the pilot safely.</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M-P</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72 h</w:t>
            </w:r>
          </w:p>
        </w:tc>
        <w:tc>
          <w:tcPr>
            <w:tcW w:type="dxa" w:w="7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8 h</w:t>
            </w:r>
          </w:p>
        </w:tc>
        <w:tc>
          <w:tcPr>
            <w:tcW w:type="dxa" w:w="316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Send an invoice, record a partial payment, issue a receipt and verify dashboard/report balances.</w:t>
            </w:r>
          </w:p>
        </w:tc>
      </w:tr>
    </w:tbl>
    <w:p>
      <w:pPr>
        <w:spacing w:after="20"/>
      </w:pPr>
    </w:p>
    <w:p>
      <w:pPr>
        <w:pStyle w:val="Heading2"/>
      </w:pPr>
      <w:r>
        <w:t>Cadence</w:t>
      </w:r>
    </w:p>
    <w:p>
      <w:pPr>
        <w:pStyle w:val="ListBullet"/>
        <w:spacing w:after="80" w:line="300" w:lineRule="auto"/>
        <w:ind w:left="540" w:hanging="271"/>
      </w:pPr>
      <w:r>
        <w:rPr>
          <w:rFonts w:ascii="Calibri" w:hAnsi="Calibri"/>
          <w:b w:val="0"/>
          <w:i w:val="0"/>
          <w:color w:val="182230"/>
          <w:sz w:val="22"/>
        </w:rPr>
        <w:t>Sprint planning: first morning of each sprint; confirm sprint goal, branch sequence and acceptance tests.</w:t>
      </w:r>
    </w:p>
    <w:p>
      <w:pPr>
        <w:pStyle w:val="ListBullet"/>
        <w:spacing w:after="80" w:line="300" w:lineRule="auto"/>
        <w:ind w:left="540" w:hanging="271"/>
      </w:pPr>
      <w:r>
        <w:rPr>
          <w:rFonts w:ascii="Calibri" w:hAnsi="Calibri"/>
          <w:b w:val="0"/>
          <w:i w:val="0"/>
          <w:color w:val="182230"/>
          <w:sz w:val="22"/>
        </w:rPr>
        <w:t>Daily planning: 15 minutes; select one shippable vertical slice and state the verification command before coding.</w:t>
      </w:r>
    </w:p>
    <w:p>
      <w:pPr>
        <w:pStyle w:val="ListBullet"/>
        <w:spacing w:after="80" w:line="300" w:lineRule="auto"/>
        <w:ind w:left="540" w:hanging="271"/>
      </w:pPr>
      <w:r>
        <w:rPr>
          <w:rFonts w:ascii="Calibri" w:hAnsi="Calibri"/>
          <w:b w:val="0"/>
          <w:i w:val="0"/>
          <w:color w:val="182230"/>
          <w:sz w:val="22"/>
        </w:rPr>
        <w:t>Daily review: 15 minutes; update tracker status, hours remaining, blockers and decision log.</w:t>
      </w:r>
    </w:p>
    <w:p>
      <w:pPr>
        <w:pStyle w:val="ListBullet"/>
        <w:spacing w:after="80" w:line="300" w:lineRule="auto"/>
        <w:ind w:left="540" w:hanging="271"/>
      </w:pPr>
      <w:r>
        <w:rPr>
          <w:rFonts w:ascii="Calibri" w:hAnsi="Calibri"/>
          <w:b w:val="0"/>
          <w:i w:val="0"/>
          <w:color w:val="182230"/>
          <w:sz w:val="22"/>
        </w:rPr>
        <w:t>Backlog refinement: 45 minutes each Friday; split oversized items and protect the frozen non-goals.</w:t>
      </w:r>
    </w:p>
    <w:p>
      <w:pPr>
        <w:pStyle w:val="ListBullet"/>
        <w:spacing w:after="80" w:line="300" w:lineRule="auto"/>
        <w:ind w:left="540" w:hanging="271"/>
      </w:pPr>
      <w:r>
        <w:rPr>
          <w:rFonts w:ascii="Calibri" w:hAnsi="Calibri"/>
          <w:b w:val="0"/>
          <w:i w:val="0"/>
          <w:color w:val="182230"/>
          <w:sz w:val="22"/>
        </w:rPr>
        <w:t>Sprint review: working demonstration against real API data and release criteria.</w:t>
      </w:r>
    </w:p>
    <w:p>
      <w:pPr>
        <w:pStyle w:val="ListBullet"/>
        <w:spacing w:after="80" w:line="300" w:lineRule="auto"/>
        <w:ind w:left="540" w:hanging="271"/>
      </w:pPr>
      <w:r>
        <w:rPr>
          <w:rFonts w:ascii="Calibri" w:hAnsi="Calibri"/>
          <w:b w:val="0"/>
          <w:i w:val="0"/>
          <w:color w:val="182230"/>
          <w:sz w:val="22"/>
        </w:rPr>
        <w:t>Retrospective: record one process improvement and apply it in the next sprint.</w:t>
      </w:r>
    </w:p>
    <w:p>
      <w:pPr>
        <w:pStyle w:val="Heading2"/>
      </w:pPr>
      <w:r>
        <w:t>Definition of Ready</w:t>
      </w:r>
    </w:p>
    <w:p>
      <w:pPr>
        <w:pStyle w:val="ListBullet"/>
        <w:spacing w:after="80" w:line="300" w:lineRule="auto"/>
        <w:ind w:left="540" w:hanging="271"/>
      </w:pPr>
      <w:r>
        <w:rPr>
          <w:rFonts w:ascii="Calibri" w:hAnsi="Calibri"/>
          <w:b w:val="0"/>
          <w:i w:val="0"/>
          <w:color w:val="182230"/>
          <w:sz w:val="22"/>
        </w:rPr>
        <w:t>User outcome and route are named.</w:t>
      </w:r>
    </w:p>
    <w:p>
      <w:pPr>
        <w:pStyle w:val="ListBullet"/>
        <w:spacing w:after="80" w:line="300" w:lineRule="auto"/>
        <w:ind w:left="540" w:hanging="271"/>
      </w:pPr>
      <w:r>
        <w:rPr>
          <w:rFonts w:ascii="Calibri" w:hAnsi="Calibri"/>
          <w:b w:val="0"/>
          <w:i w:val="0"/>
          <w:color w:val="182230"/>
          <w:sz w:val="22"/>
        </w:rPr>
        <w:t>Relevant frontend and backend files are identified.</w:t>
      </w:r>
    </w:p>
    <w:p>
      <w:pPr>
        <w:pStyle w:val="ListBullet"/>
        <w:spacing w:after="80" w:line="300" w:lineRule="auto"/>
        <w:ind w:left="540" w:hanging="271"/>
      </w:pPr>
      <w:r>
        <w:rPr>
          <w:rFonts w:ascii="Calibri" w:hAnsi="Calibri"/>
          <w:b w:val="0"/>
          <w:i w:val="0"/>
          <w:color w:val="182230"/>
          <w:sz w:val="22"/>
        </w:rPr>
        <w:t>Data ownership and workspace-scope rules are explicit.</w:t>
      </w:r>
    </w:p>
    <w:p>
      <w:pPr>
        <w:pStyle w:val="ListBullet"/>
        <w:spacing w:after="80" w:line="300" w:lineRule="auto"/>
        <w:ind w:left="540" w:hanging="271"/>
      </w:pPr>
      <w:r>
        <w:rPr>
          <w:rFonts w:ascii="Calibri" w:hAnsi="Calibri"/>
          <w:b w:val="0"/>
          <w:i w:val="0"/>
          <w:color w:val="182230"/>
          <w:sz w:val="22"/>
        </w:rPr>
        <w:t>Acceptance criteria are testable.</w:t>
      </w:r>
    </w:p>
    <w:p>
      <w:pPr>
        <w:pStyle w:val="ListBullet"/>
        <w:spacing w:after="80" w:line="300" w:lineRule="auto"/>
        <w:ind w:left="540" w:hanging="271"/>
      </w:pPr>
      <w:r>
        <w:rPr>
          <w:rFonts w:ascii="Calibri" w:hAnsi="Calibri"/>
          <w:b w:val="0"/>
          <w:i w:val="0"/>
          <w:color w:val="182230"/>
          <w:sz w:val="22"/>
        </w:rPr>
        <w:t>Dependencies and migration impact are known.</w:t>
      </w:r>
    </w:p>
    <w:p>
      <w:pPr>
        <w:pStyle w:val="Heading2"/>
      </w:pPr>
      <w:r>
        <w:t>Definition of Done</w:t>
      </w:r>
    </w:p>
    <w:p>
      <w:pPr>
        <w:pStyle w:val="ListBullet"/>
        <w:spacing w:after="80" w:line="300" w:lineRule="auto"/>
        <w:ind w:left="540" w:hanging="271"/>
      </w:pPr>
      <w:r>
        <w:rPr>
          <w:rFonts w:ascii="Calibri" w:hAnsi="Calibri"/>
          <w:b w:val="0"/>
          <w:i w:val="0"/>
          <w:color w:val="182230"/>
          <w:sz w:val="22"/>
        </w:rPr>
        <w:t>Implementation is connected to real APIs; no hidden placeholder remains.</w:t>
      </w:r>
    </w:p>
    <w:p>
      <w:pPr>
        <w:pStyle w:val="ListBullet"/>
        <w:spacing w:after="80" w:line="300" w:lineRule="auto"/>
        <w:ind w:left="540" w:hanging="271"/>
      </w:pPr>
      <w:r>
        <w:rPr>
          <w:rFonts w:ascii="Calibri" w:hAnsi="Calibri"/>
          <w:b w:val="0"/>
          <w:i w:val="0"/>
          <w:color w:val="182230"/>
          <w:sz w:val="22"/>
        </w:rPr>
        <w:t>Success, loading, empty, validation, error and retry states work.</w:t>
      </w:r>
    </w:p>
    <w:p>
      <w:pPr>
        <w:pStyle w:val="ListBullet"/>
        <w:spacing w:after="80" w:line="300" w:lineRule="auto"/>
        <w:ind w:left="540" w:hanging="271"/>
      </w:pPr>
      <w:r>
        <w:rPr>
          <w:rFonts w:ascii="Calibri" w:hAnsi="Calibri"/>
          <w:b w:val="0"/>
          <w:i w:val="0"/>
          <w:color w:val="182230"/>
          <w:sz w:val="22"/>
        </w:rPr>
        <w:t>Workspace ownership and input validation are covered by tests.</w:t>
      </w:r>
    </w:p>
    <w:p>
      <w:pPr>
        <w:pStyle w:val="ListBullet"/>
        <w:spacing w:after="80" w:line="300" w:lineRule="auto"/>
        <w:ind w:left="540" w:hanging="271"/>
      </w:pPr>
      <w:r>
        <w:rPr>
          <w:rFonts w:ascii="Calibri" w:hAnsi="Calibri"/>
          <w:b w:val="0"/>
          <w:i w:val="0"/>
          <w:color w:val="182230"/>
          <w:sz w:val="22"/>
        </w:rPr>
        <w:t>Frontend build and relevant backend/extension tests pass.</w:t>
      </w:r>
    </w:p>
    <w:p>
      <w:pPr>
        <w:pStyle w:val="ListBullet"/>
        <w:spacing w:after="80" w:line="300" w:lineRule="auto"/>
        <w:ind w:left="540" w:hanging="271"/>
      </w:pPr>
      <w:r>
        <w:rPr>
          <w:rFonts w:ascii="Calibri" w:hAnsi="Calibri"/>
          <w:b w:val="0"/>
          <w:i w:val="0"/>
          <w:color w:val="182230"/>
          <w:sz w:val="22"/>
        </w:rPr>
        <w:t>The branch tracker, API mapping and known limitations are updated.</w:t>
      </w:r>
    </w:p>
    <w:p>
      <w:pPr>
        <w:pStyle w:val="ListBullet"/>
        <w:spacing w:after="80" w:line="300" w:lineRule="auto"/>
        <w:ind w:left="540" w:hanging="271"/>
      </w:pPr>
      <w:r>
        <w:rPr>
          <w:rFonts w:ascii="Calibri" w:hAnsi="Calibri"/>
          <w:b w:val="0"/>
          <w:i w:val="0"/>
          <w:color w:val="182230"/>
          <w:sz w:val="22"/>
        </w:rPr>
        <w:t>The vertical workflow is manually verified on desktop and mobile where relevant.</w:t>
      </w:r>
    </w:p>
    <w:p>
      <w:pPr>
        <w:pStyle w:val="Heading2"/>
      </w:pPr>
      <w:r>
        <w:t>Sprint exit criteria</w:t>
      </w:r>
    </w:p>
    <w:tbl>
      <w:tblPr>
        <w:tblStyle w:val="TableGrid"/>
        <w:tblW w:type="dxa" w:w="9360"/>
        <w:jc w:val="left"/>
        <w:tblLayout w:type="fixed"/>
        <w:tblLook w:firstColumn="1" w:firstRow="1" w:lastColumn="0" w:lastRow="0" w:noHBand="0" w:noVBand="1" w:val="04A0"/>
        <w:tblInd w:type="dxa" w:w="120"/>
      </w:tblPr>
      <w:tblGrid>
        <w:gridCol w:w="1080"/>
        <w:gridCol w:w="8280"/>
      </w:tblGrid>
      <w:tr>
        <w:trPr>
          <w:tblHeader w:val="true"/>
        </w:trPr>
        <w:tc>
          <w:tcPr>
            <w:tcW w:type="dxa" w:w="108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Sprint</w:t>
            </w:r>
          </w:p>
        </w:tc>
        <w:tc>
          <w:tcPr>
            <w:tcW w:type="dxa" w:w="828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Exit criteria</w:t>
            </w:r>
          </w:p>
        </w:tc>
      </w:tr>
      <w:tr>
        <w:trPr/>
        <w:tc>
          <w:tcPr>
            <w:tcW w:type="dxa" w:w="10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S1</w:t>
            </w:r>
          </w:p>
        </w:tc>
        <w:tc>
          <w:tcPr>
            <w:tcW w:type="dxa" w:w="82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Authentication, workspace scoping, client CRUD and matter CRUD pass integration tests.</w:t>
            </w:r>
          </w:p>
        </w:tc>
      </w:tr>
      <w:tr>
        <w:trPr/>
        <w:tc>
          <w:tcPr>
            <w:tcW w:type="dxa" w:w="10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S2</w:t>
            </w:r>
          </w:p>
        </w:tc>
        <w:tc>
          <w:tcPr>
            <w:tcW w:type="dxa" w:w="82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Every supported capture source creates exactly one workspace-scoped work entry.</w:t>
            </w:r>
          </w:p>
        </w:tc>
      </w:tr>
      <w:tr>
        <w:trPr/>
        <w:tc>
          <w:tcPr>
            <w:tcW w:type="dxa" w:w="10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S3</w:t>
            </w:r>
          </w:p>
        </w:tc>
        <w:tc>
          <w:tcPr>
            <w:tcW w:type="dxa" w:w="82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Ready-to-bill work cannot be billed twice; invoice totals reconcile server-side.</w:t>
            </w:r>
          </w:p>
        </w:tc>
      </w:tr>
      <w:tr>
        <w:trPr/>
        <w:tc>
          <w:tcPr>
            <w:tcW w:type="dxa" w:w="10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S4</w:t>
            </w:r>
          </w:p>
        </w:tc>
        <w:tc>
          <w:tcPr>
            <w:tcW w:type="dxa" w:w="82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End-to-end regression, backups, monitoring and pilot onboarding gates pass.</w:t>
            </w:r>
          </w:p>
        </w:tc>
      </w:tr>
    </w:tbl>
    <w:p>
      <w:pPr>
        <w:spacing w:after="20"/>
      </w:pPr>
    </w:p>
    <w:p>
      <w:pPr>
        <w:pStyle w:val="Heading1"/>
        <w:pageBreakBefore/>
      </w:pPr>
      <w:r>
        <w:t>3. Release gates and governance</w:t>
      </w:r>
    </w:p>
    <w:p>
      <w:pPr>
        <w:pStyle w:val="ListNumber"/>
        <w:spacing w:after="80" w:line="300" w:lineRule="auto"/>
        <w:ind w:left="540" w:hanging="271"/>
      </w:pPr>
      <w:r>
        <w:rPr>
          <w:rFonts w:ascii="Calibri" w:hAnsi="Calibri"/>
          <w:b w:val="0"/>
          <w:i w:val="0"/>
          <w:color w:val="182230"/>
          <w:sz w:val="22"/>
        </w:rPr>
        <w:t>Workspace A cannot read or mutate Workspace B data.</w:t>
      </w:r>
    </w:p>
    <w:p>
      <w:pPr>
        <w:pStyle w:val="ListNumber"/>
        <w:spacing w:after="80" w:line="300" w:lineRule="auto"/>
        <w:ind w:left="540" w:hanging="271"/>
      </w:pPr>
      <w:r>
        <w:rPr>
          <w:rFonts w:ascii="Calibri" w:hAnsi="Calibri"/>
          <w:b w:val="0"/>
          <w:i w:val="0"/>
          <w:color w:val="182230"/>
          <w:sz w:val="22"/>
        </w:rPr>
        <w:t>Every supported capture produces at most one work entry.</w:t>
      </w:r>
    </w:p>
    <w:p>
      <w:pPr>
        <w:pStyle w:val="ListNumber"/>
        <w:spacing w:after="80" w:line="300" w:lineRule="auto"/>
        <w:ind w:left="540" w:hanging="271"/>
      </w:pPr>
      <w:r>
        <w:rPr>
          <w:rFonts w:ascii="Calibri" w:hAnsi="Calibri"/>
          <w:b w:val="0"/>
          <w:i w:val="0"/>
          <w:color w:val="182230"/>
          <w:sz w:val="22"/>
        </w:rPr>
        <w:t>Every work entry and expense can be invoiced at most once.</w:t>
      </w:r>
    </w:p>
    <w:p>
      <w:pPr>
        <w:pStyle w:val="ListNumber"/>
        <w:spacing w:after="80" w:line="300" w:lineRule="auto"/>
        <w:ind w:left="540" w:hanging="271"/>
      </w:pPr>
      <w:r>
        <w:rPr>
          <w:rFonts w:ascii="Calibri" w:hAnsi="Calibri"/>
          <w:b w:val="0"/>
          <w:i w:val="0"/>
          <w:color w:val="182230"/>
          <w:sz w:val="22"/>
        </w:rPr>
        <w:t>Invoice totals, payment allocations and reports reconcile exactly.</w:t>
      </w:r>
    </w:p>
    <w:p>
      <w:pPr>
        <w:pStyle w:val="ListNumber"/>
        <w:spacing w:after="80" w:line="300" w:lineRule="auto"/>
        <w:ind w:left="540" w:hanging="271"/>
      </w:pPr>
      <w:r>
        <w:rPr>
          <w:rFonts w:ascii="Calibri" w:hAnsi="Calibri"/>
          <w:b w:val="0"/>
          <w:i w:val="0"/>
          <w:color w:val="182230"/>
          <w:sz w:val="22"/>
        </w:rPr>
        <w:t>Finalised invoices are locked and corrections are audited.</w:t>
      </w:r>
    </w:p>
    <w:p>
      <w:pPr>
        <w:pStyle w:val="ListNumber"/>
        <w:spacing w:after="80" w:line="300" w:lineRule="auto"/>
        <w:ind w:left="540" w:hanging="271"/>
      </w:pPr>
      <w:r>
        <w:rPr>
          <w:rFonts w:ascii="Calibri" w:hAnsi="Calibri"/>
          <w:b w:val="0"/>
          <w:i w:val="0"/>
          <w:color w:val="182230"/>
          <w:sz w:val="22"/>
        </w:rPr>
        <w:t>Backup restoration, error monitoring and production health checks pass.</w:t>
      </w:r>
    </w:p>
    <w:p>
      <w:pPr>
        <w:pStyle w:val="ListNumber"/>
        <w:spacing w:after="80" w:line="300" w:lineRule="auto"/>
        <w:ind w:left="540" w:hanging="271"/>
      </w:pPr>
      <w:r>
        <w:rPr>
          <w:rFonts w:ascii="Calibri" w:hAnsi="Calibri"/>
          <w:b w:val="0"/>
          <w:i w:val="0"/>
          <w:color w:val="182230"/>
          <w:sz w:val="22"/>
        </w:rPr>
        <w:t>All retained screens have loading, empty, error and recovery states.</w:t>
      </w:r>
    </w:p>
    <w:p>
      <w:pPr>
        <w:pStyle w:val="ListNumber"/>
        <w:spacing w:after="80" w:line="300" w:lineRule="auto"/>
        <w:ind w:left="540" w:hanging="271"/>
      </w:pPr>
      <w:r>
        <w:rPr>
          <w:rFonts w:ascii="Calibri" w:hAnsi="Calibri"/>
          <w:b w:val="0"/>
          <w:i w:val="0"/>
          <w:color w:val="182230"/>
          <w:sz w:val="22"/>
        </w:rPr>
        <w:t>No P0/P1 defect remains open at pilot launch.</w:t>
      </w:r>
    </w:p>
    <w:p>
      <w:pPr>
        <w:pStyle w:val="Heading2"/>
      </w:pPr>
      <w:r>
        <w:t>Top delivery risks</w:t>
      </w:r>
    </w:p>
    <w:tbl>
      <w:tblPr>
        <w:tblStyle w:val="TableGrid"/>
        <w:tblW w:type="dxa" w:w="9360"/>
        <w:jc w:val="left"/>
        <w:tblLayout w:type="fixed"/>
        <w:tblLook w:firstColumn="1" w:firstRow="1" w:lastColumn="0" w:lastRow="0" w:noHBand="0" w:noVBand="1" w:val="04A0"/>
        <w:tblInd w:type="dxa" w:w="120"/>
      </w:tblPr>
      <w:tblGrid>
        <w:gridCol w:w="648"/>
        <w:gridCol w:w="1008"/>
        <w:gridCol w:w="2448"/>
        <w:gridCol w:w="4392"/>
        <w:gridCol w:w="864"/>
      </w:tblGrid>
      <w:tr>
        <w:trPr>
          <w:tblHeader w:val="true"/>
        </w:trPr>
        <w:tc>
          <w:tcPr>
            <w:tcW w:type="dxa" w:w="64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ID</w:t>
            </w:r>
          </w:p>
        </w:tc>
        <w:tc>
          <w:tcPr>
            <w:tcW w:type="dxa" w:w="100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Severity</w:t>
            </w:r>
          </w:p>
        </w:tc>
        <w:tc>
          <w:tcPr>
            <w:tcW w:type="dxa" w:w="244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Risk</w:t>
            </w:r>
          </w:p>
        </w:tc>
        <w:tc>
          <w:tcPr>
            <w:tcW w:type="dxa" w:w="439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Mitigation</w:t>
            </w:r>
          </w:p>
        </w:tc>
        <w:tc>
          <w:tcPr>
            <w:tcW w:type="dxa" w:w="86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Due</w:t>
            </w:r>
          </w:p>
        </w:tc>
      </w:tr>
      <w:tr>
        <w:trPr/>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R1</w:t>
            </w:r>
          </w:p>
        </w:tc>
        <w:tc>
          <w:tcPr>
            <w:tcW w:type="dxa" w:w="100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Critical</w:t>
            </w:r>
          </w:p>
        </w:tc>
        <w:tc>
          <w:tcPr>
            <w:tcW w:type="dxa" w:w="24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Cross-workspace data access</w:t>
            </w:r>
          </w:p>
        </w:tc>
        <w:tc>
          <w:tcPr>
            <w:tcW w:type="dxa" w:w="43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Mandatory workspace scoping, two-workspace tests, no caller-supplied ownership</w:t>
            </w:r>
          </w:p>
        </w:tc>
        <w:tc>
          <w:tcPr>
            <w:tcW w:type="dxa" w:w="8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S1</w:t>
            </w:r>
          </w:p>
        </w:tc>
      </w:tr>
      <w:tr>
        <w:trPr/>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R2</w:t>
            </w:r>
          </w:p>
        </w:tc>
        <w:tc>
          <w:tcPr>
            <w:tcW w:type="dxa" w:w="100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Critical</w:t>
            </w:r>
          </w:p>
        </w:tc>
        <w:tc>
          <w:tcPr>
            <w:tcW w:type="dxa" w:w="24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Duplicate work-to-billable or billable-to-invoice conversion</w:t>
            </w:r>
          </w:p>
        </w:tc>
        <w:tc>
          <w:tcPr>
            <w:tcW w:type="dxa" w:w="43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Unique indexes, idempotency keys, transactional conversion and concurrency tests</w:t>
            </w:r>
          </w:p>
        </w:tc>
        <w:tc>
          <w:tcPr>
            <w:tcW w:type="dxa" w:w="86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S3</w:t>
            </w:r>
          </w:p>
        </w:tc>
      </w:tr>
      <w:tr>
        <w:trPr/>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R3</w:t>
            </w:r>
          </w:p>
        </w:tc>
        <w:tc>
          <w:tcPr>
            <w:tcW w:type="dxa" w:w="100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High</w:t>
            </w:r>
          </w:p>
        </w:tc>
        <w:tc>
          <w:tcPr>
            <w:tcW w:type="dxa" w:w="24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Financial rounding/GST mismatch</w:t>
            </w:r>
          </w:p>
        </w:tc>
        <w:tc>
          <w:tcPr>
            <w:tcW w:type="dxa" w:w="43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Integer minor units, server-side totals and golden fixtures</w:t>
            </w:r>
          </w:p>
        </w:tc>
        <w:tc>
          <w:tcPr>
            <w:tcW w:type="dxa" w:w="8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S3</w:t>
            </w:r>
          </w:p>
        </w:tc>
      </w:tr>
      <w:tr>
        <w:trPr/>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R4</w:t>
            </w:r>
          </w:p>
        </w:tc>
        <w:tc>
          <w:tcPr>
            <w:tcW w:type="dxa" w:w="100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High</w:t>
            </w:r>
          </w:p>
        </w:tc>
        <w:tc>
          <w:tcPr>
            <w:tcW w:type="dxa" w:w="24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Gmail DOM or extension instability</w:t>
            </w:r>
          </w:p>
        </w:tc>
        <w:tc>
          <w:tcPr>
            <w:tcW w:type="dxa" w:w="43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Retry queue, visible health state and manual-entry fallback</w:t>
            </w:r>
          </w:p>
        </w:tc>
        <w:tc>
          <w:tcPr>
            <w:tcW w:type="dxa" w:w="86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S2</w:t>
            </w:r>
          </w:p>
        </w:tc>
      </w:tr>
      <w:tr>
        <w:trPr/>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R5</w:t>
            </w:r>
          </w:p>
        </w:tc>
        <w:tc>
          <w:tcPr>
            <w:tcW w:type="dxa" w:w="100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High</w:t>
            </w:r>
          </w:p>
        </w:tc>
        <w:tc>
          <w:tcPr>
            <w:tcW w:type="dxa" w:w="24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Solo developer scope expansion</w:t>
            </w:r>
          </w:p>
        </w:tc>
        <w:tc>
          <w:tcPr>
            <w:tcW w:type="dxa" w:w="43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Frozen non-goals, 8-hour sprint buffer and change-control rule</w:t>
            </w:r>
          </w:p>
        </w:tc>
        <w:tc>
          <w:tcPr>
            <w:tcW w:type="dxa" w:w="8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All</w:t>
            </w:r>
          </w:p>
        </w:tc>
      </w:tr>
      <w:tr>
        <w:trPr/>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R6</w:t>
            </w:r>
          </w:p>
        </w:tc>
        <w:tc>
          <w:tcPr>
            <w:tcW w:type="dxa" w:w="100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Medium</w:t>
            </w:r>
          </w:p>
        </w:tc>
        <w:tc>
          <w:tcPr>
            <w:tcW w:type="dxa" w:w="24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Email/PDF provider failure</w:t>
            </w:r>
          </w:p>
        </w:tc>
        <w:tc>
          <w:tcPr>
            <w:tcW w:type="dxa" w:w="439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Managed provider sandbox, retry and download fallback</w:t>
            </w:r>
          </w:p>
        </w:tc>
        <w:tc>
          <w:tcPr>
            <w:tcW w:type="dxa" w:w="86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S4</w:t>
            </w:r>
          </w:p>
        </w:tc>
      </w:tr>
      <w:tr>
        <w:trPr/>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R7</w:t>
            </w:r>
          </w:p>
        </w:tc>
        <w:tc>
          <w:tcPr>
            <w:tcW w:type="dxa" w:w="100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Medium</w:t>
            </w:r>
          </w:p>
        </w:tc>
        <w:tc>
          <w:tcPr>
            <w:tcW w:type="dxa" w:w="24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Insufficient pilot feedback</w:t>
            </w:r>
          </w:p>
        </w:tc>
        <w:tc>
          <w:tcPr>
            <w:tcW w:type="dxa" w:w="439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Weekly pilot interviews, event metrics and in-product feedback</w:t>
            </w:r>
          </w:p>
        </w:tc>
        <w:tc>
          <w:tcPr>
            <w:tcW w:type="dxa" w:w="86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7"/>
              </w:rPr>
              <w:t>S4</w:t>
            </w:r>
          </w:p>
        </w:tc>
      </w:tr>
    </w:tbl>
    <w:p>
      <w:pPr>
        <w:spacing w:after="20"/>
      </w:pPr>
    </w:p>
    <w:p>
      <w:pPr>
        <w:pStyle w:val="Heading2"/>
      </w:pPr>
      <w:r>
        <w:t>Change-control rule</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8E6"/>
            <w:tcBorders>
              <w:top w:val="single" w:sz="8" w:color="9A6700"/>
              <w:left w:val="single" w:sz="8" w:color="9A6700"/>
              <w:bottom w:val="single" w:sz="8" w:color="9A6700"/>
              <w:right w:val="single" w:sz="8" w:color="9A6700"/>
              <w:insideH w:val="single" w:sz="8" w:color="9A6700"/>
              <w:insideV w:val="single" w:sz="8" w:color="9A6700"/>
            </w:tcBorders>
            <w:tcMar>
              <w:top w:w="80" w:type="dxa"/>
              <w:bottom w:w="80" w:type="dxa"/>
              <w:start w:w="120" w:type="dxa"/>
              <w:end w:w="120" w:type="dxa"/>
            </w:tcMar>
          </w:tcPr>
          <w:p>
            <w:pPr>
              <w:spacing w:after="60"/>
            </w:pPr>
            <w:r>
              <w:rPr>
                <w:rFonts w:ascii="Calibri" w:hAnsi="Calibri"/>
                <w:b/>
                <w:i w:val="0"/>
                <w:color w:val="9A6700"/>
                <w:sz w:val="18"/>
              </w:rPr>
              <w:t>SCOPE PROTECTION</w:t>
            </w:r>
          </w:p>
          <w:p>
            <w:pPr>
              <w:spacing w:after="0"/>
            </w:pPr>
            <w:r>
              <w:rPr>
                <w:rFonts w:ascii="Calibri" w:hAnsi="Calibri"/>
                <w:b/>
                <w:i w:val="0"/>
                <w:color w:val="17324D"/>
                <w:sz w:val="22"/>
              </w:rPr>
              <w:t>No new product module enters the MVP after Sprint 1. A new request must replace equal or greater planned work, preserve release gates, and be recorded in the decision log.</w:t>
            </w:r>
          </w:p>
        </w:tc>
      </w:tr>
    </w:tbl>
    <w:p>
      <w:pPr>
        <w:spacing w:after="20"/>
      </w:pPr>
    </w:p>
    <w:p>
      <w:pPr>
        <w:pStyle w:val="Heading1"/>
        <w:pageBreakBefore/>
      </w:pPr>
      <w:r>
        <w:t>4. Branch and work-package index</w:t>
      </w:r>
    </w:p>
    <w:tbl>
      <w:tblPr>
        <w:tblStyle w:val="TableGrid"/>
        <w:tblW w:type="dxa" w:w="9360"/>
        <w:jc w:val="left"/>
        <w:tblLayout w:type="fixed"/>
        <w:tblLook w:firstColumn="1" w:firstRow="1" w:lastColumn="0" w:lastRow="0" w:noHBand="0" w:noVBand="1" w:val="04A0"/>
        <w:tblInd w:type="dxa" w:w="120"/>
      </w:tblPr>
      <w:tblGrid>
        <w:gridCol w:w="504"/>
        <w:gridCol w:w="648"/>
        <w:gridCol w:w="2376"/>
        <w:gridCol w:w="1152"/>
        <w:gridCol w:w="648"/>
        <w:gridCol w:w="504"/>
        <w:gridCol w:w="3528"/>
      </w:tblGrid>
      <w:tr>
        <w:trPr>
          <w:tblHeader w:val="true"/>
        </w:trPr>
        <w:tc>
          <w:tcPr>
            <w:tcW w:type="dxa" w:w="50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No.</w:t>
            </w:r>
          </w:p>
        </w:tc>
        <w:tc>
          <w:tcPr>
            <w:tcW w:type="dxa" w:w="64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Sprint</w:t>
            </w:r>
          </w:p>
        </w:tc>
        <w:tc>
          <w:tcPr>
            <w:tcW w:type="dxa" w:w="237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w:t>
            </w:r>
          </w:p>
        </w:tc>
        <w:tc>
          <w:tcPr>
            <w:tcW w:type="dxa" w:w="1152"/>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Epic</w:t>
            </w:r>
          </w:p>
        </w:tc>
        <w:tc>
          <w:tcPr>
            <w:tcW w:type="dxa" w:w="64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Hours</w:t>
            </w:r>
          </w:p>
        </w:tc>
        <w:tc>
          <w:tcPr>
            <w:tcW w:type="dxa" w:w="50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w:t>
            </w:r>
          </w:p>
        </w:tc>
        <w:tc>
          <w:tcPr>
            <w:tcW w:type="dxa" w:w="3528"/>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Primary outcome</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A</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S1</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codex/solo-product-shell</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Foundation</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12</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6</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Introduce solo product mode, focused navigation and shared UX states while hiding enterprise-only modules.</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B</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S1</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codex/solo-auth-onboarding</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Account</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20</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10</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Simplify registration and login to one owner account and capture practice, tax, invoice and payment defaults during onboarding.</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S1</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codex/workspace-isolation</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Security</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20</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10</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Enforce workspace ownership across every retained resource and migrate legacy firm records safely.</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D</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S1</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codex/solo-clients-matters</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Practice records</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20</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10</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Complete client and matter records for a solo practice, including contacts, GST, billing terms, court details and financial summaries.</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E</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S2</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codex/solo-tasks-daily-work</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Daily work</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20</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10</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Simplify tasks for one lawyer and allow any task to launch a pre-filled work session.</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F</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S2</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codex/solo-work-meter-manual</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Work capture</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24</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12</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Harden web timer and manual entry with timezone, idle, rounding, recovery and duplicate protection.</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G</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S2</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codex/gmail-research-capture</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Work capture</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16</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8</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Preserve differentiated Gmail and research capture while simplifying setup for one owner.</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H</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S2</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codex/unified-work-review</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Time review</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12</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6</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Replace approval queues with one owner-operated work review experience.</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I</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S3</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codex/solo-rates-billables</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Billing</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16</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8</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Resolve default, client and matter rates and create billables exactly once from reviewed work.</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J</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S3</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codex/expenses-disbursements</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Billing</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18</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9</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Add reimbursable legal expenses and receipt attachments to matter billing.</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K</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S3</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codex/invoice-core-controls</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Invoices</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22</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11</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Create a single canonical invoice flow from ready billables with numbering, GST, discounts, locking and revisions.</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L</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S3</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codex/invoice-pdf-branding</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Invoices</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16</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8</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Produce one polished professional invoice PDF with solo-practice branding and payment instructions.</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M</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S4</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codex/invoice-email-delivery</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Collections</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12</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6</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Send finalised invoices through managed email with delivery history and retry states.</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N</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S4</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codex/solo-payments-receipts</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Payments</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16</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8</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Support full/partial payments, reconciliation, receipts, write-offs and accurate outstanding balances.</w:t>
            </w:r>
          </w:p>
        </w:tc>
      </w:tr>
      <w:tr>
        <w:trPr/>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O</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S4</w:t>
            </w:r>
          </w:p>
        </w:tc>
        <w:tc>
          <w:tcPr>
            <w:tcW w:type="dxa" w:w="237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codex/solo-dashboard-reports</w:t>
            </w:r>
          </w:p>
        </w:tc>
        <w:tc>
          <w:tcPr>
            <w:tcW w:type="dxa" w:w="1152"/>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Insights</w:t>
            </w:r>
          </w:p>
        </w:tc>
        <w:tc>
          <w:tcPr>
            <w:tcW w:type="dxa" w:w="64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18</w:t>
            </w:r>
          </w:p>
        </w:tc>
        <w:tc>
          <w:tcPr>
            <w:tcW w:type="dxa" w:w="50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9</w:t>
            </w:r>
          </w:p>
        </w:tc>
        <w:tc>
          <w:tcPr>
            <w:tcW w:type="dxa" w:w="3528"/>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Give the lawyer an actionable daily dashboard plus income, WIP, invoice and outstanding reports.</w:t>
            </w:r>
          </w:p>
        </w:tc>
      </w:tr>
      <w:tr>
        <w:trPr/>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S4</w:t>
            </w:r>
          </w:p>
        </w:tc>
        <w:tc>
          <w:tcPr>
            <w:tcW w:type="dxa" w:w="237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codex/solo-release-hardening</w:t>
            </w:r>
          </w:p>
        </w:tc>
        <w:tc>
          <w:tcPr>
            <w:tcW w:type="dxa" w:w="1152"/>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Release</w:t>
            </w:r>
          </w:p>
        </w:tc>
        <w:tc>
          <w:tcPr>
            <w:tcW w:type="dxa" w:w="64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26</w:t>
            </w:r>
          </w:p>
        </w:tc>
        <w:tc>
          <w:tcPr>
            <w:tcW w:type="dxa" w:w="50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13</w:t>
            </w:r>
          </w:p>
        </w:tc>
        <w:tc>
          <w:tcPr>
            <w:tcW w:type="dxa" w:w="3528"/>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5"/>
              </w:rPr>
              <w:t>Prepare a safe controlled pilot with monitoring, backups, accessibility, mobile polish and end-to-end regression.</w:t>
            </w:r>
          </w:p>
        </w:tc>
      </w:tr>
    </w:tbl>
    <w:p>
      <w:pPr>
        <w:spacing w:after="20"/>
      </w:pPr>
    </w:p>
    <w:p>
      <w:pPr>
        <w:pStyle w:val="Heading1"/>
        <w:pageBreakBefore/>
      </w:pPr>
      <w:r>
        <w:t>A - codex/solo-product-shell</w:t>
      </w:r>
    </w:p>
    <w:p>
      <w:r>
        <w:rPr>
          <w:rFonts w:ascii="Calibri" w:hAnsi="Calibri"/>
          <w:b/>
          <w:i w:val="0"/>
          <w:color w:val="117A8B"/>
          <w:sz w:val="20"/>
        </w:rPr>
        <w:t>S1  |  Foundation  |  12 planned hours  |  6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Introduce solo product mode, focused navigation and shared UX states while hiding enterprise-only modules.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codex/solo-product-shell</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Focused app shell; solo navigation; fallback states; not-found and offline states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PRODUCT_MODE configuration; route exposure map; no schema change</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Only focused MVP routes appear; excluded modules cannot be reached through navigation; loading, empty, error and retry states are reusable.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Frontend build; route smoke test; desktop/mobile navigation check</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feat(solo): add focused product shell</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`codex/solo-product-shell` based on `codex/solo-lawyer-mvp`. The required outcome is: Introduce solo product mode, focused navigation and shared UX states while hiding enterprise-only modules. Implement these screens and states: Focused app shell; solo navigation; fallback states; not-found and offline states. Backend/API scope: PRODUCT_MODE configuration; route exposure map; no schema change.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Only focused MVP routes appear; excluded modules cannot be reached through navigation; loading, empty, error and retry states are reusable.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feat(solo): add focused product shell</w:t>
      </w:r>
    </w:p>
    <w:p>
      <w:pPr>
        <w:pStyle w:val="Heading1"/>
        <w:pageBreakBefore/>
      </w:pPr>
      <w:r>
        <w:t>B - codex/solo-auth-onboarding</w:t>
      </w:r>
    </w:p>
    <w:p>
      <w:r>
        <w:rPr>
          <w:rFonts w:ascii="Calibri" w:hAnsi="Calibri"/>
          <w:b/>
          <w:i w:val="0"/>
          <w:color w:val="117A8B"/>
          <w:sz w:val="20"/>
        </w:rPr>
        <w:t>S1  |  Account  |  20 planned hours  |  10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Simplify registration and login to one owner account and capture practice, tax, invoice and payment defaults during onboarding.</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codex/solo-auth-onboarding</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Login; register; forgot/reset password; onboarding; owner profile; practice settings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Auth current-user routes; workspace creation; owner profile/settings; session revocation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 lawyer registers without choosing a role, receives one workspace and can complete/edit practice settings.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Auth route tests; reset flow; onboarding persistence; session-expiry test</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feat(auth): add solo owner onboarding</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`codex/solo-auth-onboarding` based on `codex/solo-lawyer-mvp`. The required outcome is: Simplify registration and login to one owner account and capture practice, tax, invoice and payment defaults during onboarding. Implement these screens and states: Login; register; forgot/reset password; onboarding; owner profile; practice settings. Backend/API scope: Auth current-user routes; workspace creation; owner profile/settings; session revocation.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A lawyer registers without choosing a role, receives one workspace and can complete/edit practice settings.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feat(auth): add solo owner onboarding</w:t>
      </w:r>
    </w:p>
    <w:p>
      <w:pPr>
        <w:pStyle w:val="Heading1"/>
        <w:pageBreakBefore/>
      </w:pPr>
      <w:r>
        <w:t>C - codex/workspace-isolation</w:t>
      </w:r>
    </w:p>
    <w:p>
      <w:r>
        <w:rPr>
          <w:rFonts w:ascii="Calibri" w:hAnsi="Calibri"/>
          <w:b/>
          <w:i w:val="0"/>
          <w:color w:val="117A8B"/>
          <w:sz w:val="20"/>
        </w:rPr>
        <w:t>S1  |  Security  |  20 planned hours  |  10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Enforce workspace ownership across every retained resource and migrate legacy firm records safely.</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codex/workspace-isolation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No new primary screen; access-denied and migration-safe error states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workspaceId/firmId migration; request workspace context; scoped queries; ownership validators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Workspace A cannot read or mutate Workspace B records; ownership fields cannot be supplied by clients.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Two-workspace security suite across clients, matters, tasks, work, invoices and payments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security: enforce solo workspace isolation</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`codex/workspace-isolation` based on `codex/solo-lawyer-mvp`. The required outcome is: Enforce workspace ownership across every retained resource and migrate legacy firm records safely. Implement these screens and states: No new primary screen; access-denied and migration-safe error states. Backend/API scope: workspaceId/firmId migration; request workspace context; scoped queries; ownership validators.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Workspace A cannot read or mutate Workspace B records; ownership fields cannot be supplied by clients.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security: enforce solo workspace isolation</w:t>
      </w:r>
    </w:p>
    <w:p>
      <w:pPr>
        <w:pStyle w:val="Heading1"/>
        <w:pageBreakBefore/>
      </w:pPr>
      <w:r>
        <w:t>D - codex/solo-clients-matters</w:t>
      </w:r>
    </w:p>
    <w:p>
      <w:r>
        <w:rPr>
          <w:rFonts w:ascii="Calibri" w:hAnsi="Calibri"/>
          <w:b/>
          <w:i w:val="0"/>
          <w:color w:val="117A8B"/>
          <w:sz w:val="20"/>
        </w:rPr>
        <w:t>S1  |  Practice records  |  20 planned hours  |  10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Complete client and matter records for a solo practice, including contacts, GST, billing terms, court details and financial summaries.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codex/solo-clients-matters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Client list/form/detail; matter list/form/detail; client balance; matter financial summary</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Client contacts/notes; matter numbering; matter billing method; scoped summaries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Client and matter CRUD works with validation, archive/reopen, search and workspace ownership.</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CRUD integration tests; duplicate warning; archive/reopen; summary reconciliation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feat(practice): complete solo clients and matters</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`codex/solo-clients-matters` based on `codex/solo-lawyer-mvp`. The required outcome is: Complete client and matter records for a solo practice, including contacts, GST, billing terms, court details and financial summaries. Implement these screens and states: Client list/form/detail; matter list/form/detail; client balance; matter financial summary. Backend/API scope: Client contacts/notes; matter numbering; matter billing method; scoped summaries.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Client and matter CRUD works with validation, archive/reopen, search and workspace ownership.</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feat(practice): complete solo clients and matters</w:t>
      </w:r>
    </w:p>
    <w:p>
      <w:pPr>
        <w:pStyle w:val="Heading1"/>
        <w:pageBreakBefore/>
      </w:pPr>
      <w:r>
        <w:t>E - codex/solo-tasks-daily-work</w:t>
      </w:r>
    </w:p>
    <w:p>
      <w:r>
        <w:rPr>
          <w:rFonts w:ascii="Calibri" w:hAnsi="Calibri"/>
          <w:b/>
          <w:i w:val="0"/>
          <w:color w:val="117A8B"/>
          <w:sz w:val="20"/>
        </w:rPr>
        <w:t>S2  |  Daily work  |  20 planned hours  |  10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Simplify tasks for one lawyer and allow any task to launch a pre-filled work session.</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codex/solo-tasks-daily-work</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Task list; task form; task detail; My Work Today</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Task CRUD; due/priority/checklist; meter context handoff</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The owner can create, complete and filter tasks and launch the timer with client/matter/task context.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Task route tests; overdue filter; checklist persistence; meter handoff</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feat(tasks): add solo daily-work flow</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`codex/solo-tasks-daily-work` based on `codex/solo-lawyer-mvp`. The required outcome is: Simplify tasks for one lawyer and allow any task to launch a pre-filled work session. Implement these screens and states: Task list; task form; task detail; My Work Today. Backend/API scope: Task CRUD; due/priority/checklist; meter context handoff.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The owner can create, complete and filter tasks and launch the timer with client/matter/task context.</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feat(tasks): add solo daily-work flow</w:t>
      </w:r>
    </w:p>
    <w:p>
      <w:pPr>
        <w:pStyle w:val="Heading1"/>
        <w:pageBreakBefore/>
      </w:pPr>
      <w:r>
        <w:t>F - codex/solo-work-meter-manual</w:t>
      </w:r>
    </w:p>
    <w:p>
      <w:r>
        <w:rPr>
          <w:rFonts w:ascii="Calibri" w:hAnsi="Calibri"/>
          <w:b/>
          <w:i w:val="0"/>
          <w:color w:val="117A8B"/>
          <w:sz w:val="20"/>
        </w:rPr>
        <w:t>S2  |  Work capture  |  24 planned hours  |  12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Harden web timer and manual entry with timezone, idle, rounding, recovery and duplicate protection.</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codex/solo-work-meter-manual</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Work Meter; current session; session history; manual time form; recovery state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Work-session lifecycle; firm timezone; idempotency; recovery; work-entry projection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Start/pause/resume/stop and manual entry each create one accurate draft work entry with recoverable failure states.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Lifecycle tests; timezone boundaries; idle calculation; duplicate request; crash recovery</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feat(work): harden timer and manual capture</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`codex/solo-work-meter-manual` based on `codex/solo-lawyer-mvp`. The required outcome is: Harden web timer and manual entry with timezone, idle, rounding, recovery and duplicate protection. Implement these screens and states: Work Meter; current session; session history; manual time form; recovery state. Backend/API scope: Work-session lifecycle; firm timezone; idempotency; recovery; work-entry projection.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Start/pause/resume/stop and manual entry each create one accurate draft work entry with recoverable failure states.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feat(work): harden timer and manual capture</w:t>
      </w:r>
    </w:p>
    <w:p>
      <w:pPr>
        <w:pStyle w:val="Heading1"/>
        <w:pageBreakBefore/>
      </w:pPr>
      <w:r>
        <w:t>G - codex/gmail-research-capture</w:t>
      </w:r>
    </w:p>
    <w:p>
      <w:r>
        <w:rPr>
          <w:rFonts w:ascii="Calibri" w:hAnsi="Calibri"/>
          <w:b/>
          <w:i w:val="0"/>
          <w:color w:val="117A8B"/>
          <w:sz w:val="20"/>
        </w:rPr>
        <w:t>S2  |  Work capture  |  16 planned hours  |  8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Preserve differentiated Gmail and research capture while simplifying setup for one owner.</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codex/gmail-research-capture</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Extension setup/status; Gmail review; research review; capture mapping</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Extension token; email entries; research capture; mapping and idempotent conversion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Offline captures retry safely; duplicate source references do not duplicate work; mapping updates the unified queue.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Extension unit tests; queue retry; duplicate capture; workspace mapping</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feat(capture): adapt Gmail and research for solo use</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`codex/gmail-research-capture` based on `codex/solo-lawyer-mvp`. The required outcome is: Preserve differentiated Gmail and research capture while simplifying setup for one owner. Implement these screens and states: Extension setup/status; Gmail review; research review; capture mapping. Backend/API scope: Extension token; email entries; research capture; mapping and idempotent conversion.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Offline captures retry safely; duplicate source references do not duplicate work; mapping updates the unified queue.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feat(capture): adapt Gmail and research for solo use</w:t>
      </w:r>
    </w:p>
    <w:p>
      <w:pPr>
        <w:pStyle w:val="Heading1"/>
        <w:pageBreakBefore/>
      </w:pPr>
      <w:r>
        <w:t>H - codex/unified-work-review</w:t>
      </w:r>
    </w:p>
    <w:p>
      <w:r>
        <w:rPr>
          <w:rFonts w:ascii="Calibri" w:hAnsi="Calibri"/>
          <w:b/>
          <w:i w:val="0"/>
          <w:color w:val="117A8B"/>
          <w:sz w:val="20"/>
        </w:rPr>
        <w:t>S2  |  Time review  |  12 planned hours  |  6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Replace approval queues with one owner-operated work review experience.</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codex/unified-work-review</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Work Entries; entry edit drawer; excluded-work filter; ready-to-bill queue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Status adapter: draft/ready_to_bill/excluded/billed; audit history; batch actions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The owner can correct duration/narrative/matter/rate, exclude work or mark it ready to bill without approval roles.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State-transition tests; edit-lock rules; batch selection; legacy status migration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feat(work): add unified solo review queue</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`codex/unified-work-review` based on `codex/solo-lawyer-mvp`. The required outcome is: Replace approval queues with one owner-operated work review experience. Implement these screens and states: Work Entries; entry edit drawer; excluded-work filter; ready-to-bill queue. Backend/API scope: Status adapter: draft/ready_to_bill/excluded/billed; audit history; batch actions.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The owner can correct duration/narrative/matter/rate, exclude work or mark it ready to bill without approval roles.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feat(work): add unified solo review queue</w:t>
      </w:r>
    </w:p>
    <w:p>
      <w:pPr>
        <w:pStyle w:val="Heading1"/>
        <w:pageBreakBefore/>
      </w:pPr>
      <w:r>
        <w:t>I - codex/solo-rates-billables</w:t>
      </w:r>
    </w:p>
    <w:p>
      <w:r>
        <w:rPr>
          <w:rFonts w:ascii="Calibri" w:hAnsi="Calibri"/>
          <w:b/>
          <w:i w:val="0"/>
          <w:color w:val="117A8B"/>
          <w:sz w:val="20"/>
        </w:rPr>
        <w:t>S3  |  Billing  |  16 planned hours  |  8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Resolve default, client and matter rates and create billables exactly once from reviewed work.</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codex/solo-rates-billables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Rate settings; billing workbench; unbilled WIP</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Effective rates; rate precedence; amount snapshot; idempotent billable conversion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Correct rate precedence applies; write-up/write-down needs a reason; one work entry produces no more than one billable.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Rate matrix tests; overlap validation; duplicate conversion; WIP totals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feat(billing): simplify rates and billables</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`codex/solo-rates-billables` based on `codex/solo-lawyer-mvp`. The required outcome is: Resolve default, client and matter rates and create billables exactly once from reviewed work. Implement these screens and states: Rate settings; billing workbench; unbilled WIP. Backend/API scope: Effective rates; rate precedence; amount snapshot; idempotent billable conversion.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Correct rate precedence applies; write-up/write-down needs a reason; one work entry produces no more than one billable.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feat(billing): simplify rates and billables</w:t>
      </w:r>
    </w:p>
    <w:p>
      <w:pPr>
        <w:pStyle w:val="Heading1"/>
        <w:pageBreakBefore/>
      </w:pPr>
      <w:r>
        <w:t>J - codex/expenses-disbursements</w:t>
      </w:r>
    </w:p>
    <w:p>
      <w:r>
        <w:rPr>
          <w:rFonts w:ascii="Calibri" w:hAnsi="Calibri"/>
          <w:b/>
          <w:i w:val="0"/>
          <w:color w:val="117A8B"/>
          <w:sz w:val="20"/>
        </w:rPr>
        <w:t>S3  |  Billing  |  18 planned hours  |  9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Add reimbursable legal expenses and receipt attachments to matter billing.</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codex/expenses-disbursements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Expense list; expense form; receipt preview; matter expenses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Expense model/routes; categories; tax; receipt metadata; billable conversion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An expense can be created, attached to a matter, marked reimbursable and included once in an invoice.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Expense CRUD; receipt authorization; tax calculation; duplicate billing</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feat(expenses): add matter disbursements</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`codex/expenses-disbursements` based on `codex/solo-lawyer-mvp`. The required outcome is: Add reimbursable legal expenses and receipt attachments to matter billing. Implement these screens and states: Expense list; expense form; receipt preview; matter expenses. Backend/API scope: Expense model/routes; categories; tax; receipt metadata; billable conversion.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An expense can be created, attached to a matter, marked reimbursable and included once in an invoice.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feat(expenses): add matter disbursements</w:t>
      </w:r>
    </w:p>
    <w:p>
      <w:pPr>
        <w:pStyle w:val="Heading1"/>
        <w:pageBreakBefore/>
      </w:pPr>
      <w:r>
        <w:t>K - codex/invoice-core-controls</w:t>
      </w:r>
    </w:p>
    <w:p>
      <w:r>
        <w:rPr>
          <w:rFonts w:ascii="Calibri" w:hAnsi="Calibri"/>
          <w:b/>
          <w:i w:val="0"/>
          <w:color w:val="117A8B"/>
          <w:sz w:val="20"/>
        </w:rPr>
        <w:t>S3  |  Invoices  |  22 planned hours  |  11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Create a single canonical invoice flow from ready billables with numbering, GST, discounts, locking and revisions.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codex/invoice-core-controls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Invoice list; builder; preview; detail; void/revision dialog</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Invoice sequence; server totals; minor-unit money; finalise/lock; revision/void</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Invoice totals reconcile; finalised invoices are immutable; work/expenses cannot be invoiced twice.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Concurrency test; GST/rounding fixtures; lock/void/revision; duplicate invoice test</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feat(invoices): add commercial invoice controls</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`codex/invoice-core-controls` based on `codex/solo-lawyer-mvp`. The required outcome is: Create a single canonical invoice flow from ready billables with numbering, GST, discounts, locking and revisions. Implement these screens and states: Invoice list; builder; preview; detail; void/revision dialog. Backend/API scope: Invoice sequence; server totals; minor-unit money; finalise/lock; revision/void.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Invoice totals reconcile; finalised invoices are immutable; work/expenses cannot be invoiced twice.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feat(invoices): add commercial invoice controls</w:t>
      </w:r>
    </w:p>
    <w:p>
      <w:pPr>
        <w:pStyle w:val="Heading1"/>
        <w:pageBreakBefore/>
      </w:pPr>
      <w:r>
        <w:t>L - codex/invoice-pdf-branding</w:t>
      </w:r>
    </w:p>
    <w:p>
      <w:r>
        <w:rPr>
          <w:rFonts w:ascii="Calibri" w:hAnsi="Calibri"/>
          <w:b/>
          <w:i w:val="0"/>
          <w:color w:val="117A8B"/>
          <w:sz w:val="20"/>
        </w:rPr>
        <w:t>S3  |  Invoices  |  16 planned hours  |  8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Produce one polished professional invoice PDF with solo-practice branding and payment instructions.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codex/invoice-pdf-branding</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Invoice PDF preview; branding settings; print/download states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PDF/HTML generation; logo metadata; bank/UPI instructions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PDF matches invoice totals, includes required identity/tax/payment fields and renders consistently.</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Golden PDF fixture; long-line wrapping; GST/no-GST; download authorization</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feat(invoices): add branded invoice PDF</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`codex/invoice-pdf-branding` based on `codex/solo-lawyer-mvp`. The required outcome is: Produce one polished professional invoice PDF with solo-practice branding and payment instructions. Implement these screens and states: Invoice PDF preview; branding settings; print/download states. Backend/API scope: PDF/HTML generation; logo metadata; bank/UPI instructions.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PDF matches invoice totals, includes required identity/tax/payment fields and renders consistently.</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feat(invoices): add branded invoice PDF</w:t>
      </w:r>
    </w:p>
    <w:p>
      <w:pPr>
        <w:pStyle w:val="Heading1"/>
        <w:pageBreakBefore/>
      </w:pPr>
      <w:r>
        <w:t>M - codex/invoice-email-delivery</w:t>
      </w:r>
    </w:p>
    <w:p>
      <w:r>
        <w:rPr>
          <w:rFonts w:ascii="Calibri" w:hAnsi="Calibri"/>
          <w:b/>
          <w:i w:val="0"/>
          <w:color w:val="117A8B"/>
          <w:sz w:val="20"/>
        </w:rPr>
        <w:t>S4  |  Collections  |  12 planned hours  |  6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Send finalised invoices through managed email with delivery history and retry states.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codex/invoice-email-delivery</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Send invoice dialog; delivery timeline; resend/failure state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Email provider adapter; delivery events; audit trail; retry</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 finalised invoice sends to validated recipients and records sent/failed/delivered events without duplicate sends.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Provider sandbox; idempotency; failure retry; audit event</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feat(invoices): add tracked email delivery</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`codex/invoice-email-delivery` based on `codex/solo-lawyer-mvp`. The required outcome is: Send finalised invoices through managed email with delivery history and retry states. Implement these screens and states: Send invoice dialog; delivery timeline; resend/failure state. Backend/API scope: Email provider adapter; delivery events; audit trail; retry.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A finalised invoice sends to validated recipients and records sent/failed/delivered events without duplicate sends.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feat(invoices): add tracked email delivery</w:t>
      </w:r>
    </w:p>
    <w:p>
      <w:pPr>
        <w:pStyle w:val="Heading1"/>
        <w:pageBreakBefore/>
      </w:pPr>
      <w:r>
        <w:t>N - codex/solo-payments-receipts</w:t>
      </w:r>
    </w:p>
    <w:p>
      <w:r>
        <w:rPr>
          <w:rFonts w:ascii="Calibri" w:hAnsi="Calibri"/>
          <w:b/>
          <w:i w:val="0"/>
          <w:color w:val="117A8B"/>
          <w:sz w:val="20"/>
        </w:rPr>
        <w:t>S4  |  Payments  |  16 planned hours  |  8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Support full/partial payments, reconciliation, receipts, write-offs and accurate outstanding balances.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codex/solo-payments-receipts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Payment list/form; invoice payment panel; receipt; write-off dialog; aging view</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Payment allocation; invoice status recompute; receipt generation; write-off audit</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Partial/full payments update outstanding balances; void invoices reject payments; receipts match cleared payments.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Allocation tests; overpayment rule; reconciliation; write-off; receipt totals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feat(payments): complete solo collections flow</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`codex/solo-payments-receipts` based on `codex/solo-lawyer-mvp`. The required outcome is: Support full/partial payments, reconciliation, receipts, write-offs and accurate outstanding balances. Implement these screens and states: Payment list/form; invoice payment panel; receipt; write-off dialog; aging view. Backend/API scope: Payment allocation; invoice status recompute; receipt generation; write-off audit.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Partial/full payments update outstanding balances; void invoices reject payments; receipts match cleared payments.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feat(payments): complete solo collections flow</w:t>
      </w:r>
    </w:p>
    <w:p>
      <w:pPr>
        <w:pStyle w:val="Heading1"/>
        <w:pageBreakBefore/>
      </w:pPr>
      <w:r>
        <w:t>O - codex/solo-dashboard-reports</w:t>
      </w:r>
    </w:p>
    <w:p>
      <w:r>
        <w:rPr>
          <w:rFonts w:ascii="Calibri" w:hAnsi="Calibri"/>
          <w:b/>
          <w:i w:val="0"/>
          <w:color w:val="117A8B"/>
          <w:sz w:val="20"/>
        </w:rPr>
        <w:t>S4  |  Insights  |  18 planned hours  |  9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Give the lawyer an actionable daily dashboard plus income, WIP, invoice and outstanding reports.</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codex/solo-dashboard-reports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Dashboard; income report; outstanding/aging; time activity; CSV export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Dashboard summary; bounded report queries; CSV exports; data-quality warnings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Dashboard values reconcile with work, invoice and payment sources for the same filters and timezone.</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Report reconciliation fixtures; empty states; CSV output; filter boundaries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feat(reports): add solo income and outstanding insights</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`codex/solo-dashboard-reports` based on `codex/solo-lawyer-mvp`. The required outcome is: Give the lawyer an actionable daily dashboard plus income, WIP, invoice and outstanding reports. Implement these screens and states: Dashboard; income report; outstanding/aging; time activity; CSV export. Backend/API scope: Dashboard summary; bounded report queries; CSV exports; data-quality warnings.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Dashboard values reconcile with work, invoice and payment sources for the same filters and timezone.</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feat(reports): add solo income and outstanding insights</w:t>
      </w:r>
    </w:p>
    <w:p>
      <w:pPr>
        <w:pStyle w:val="Heading1"/>
        <w:pageBreakBefore/>
      </w:pPr>
      <w:r>
        <w:t>P - codex/solo-release-hardening</w:t>
      </w:r>
    </w:p>
    <w:p>
      <w:r>
        <w:rPr>
          <w:rFonts w:ascii="Calibri" w:hAnsi="Calibri"/>
          <w:b/>
          <w:i w:val="0"/>
          <w:color w:val="117A8B"/>
          <w:sz w:val="20"/>
        </w:rPr>
        <w:t>S4  |  Release  |  26 planned hours  |  13 story points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8" w:color="117A8B"/>
              <w:left w:val="single" w:sz="8" w:color="117A8B"/>
              <w:bottom w:val="single" w:sz="8" w:color="117A8B"/>
              <w:right w:val="single" w:sz="8" w:color="117A8B"/>
              <w:insideH w:val="single" w:sz="8" w:color="117A8B"/>
              <w:insideV w:val="single" w:sz="8" w:color="117A8B"/>
            </w:tcBorders>
            <w:tcMar>
              <w:top w:w="80" w:type="dxa"/>
              <w:bottom w:w="80" w:type="dxa"/>
              <w:start w:w="120" w:type="dxa"/>
              <w:end w:w="120" w:type="dxa"/>
            </w:tcMar>
          </w:tcPr>
          <w:p>
            <w:pPr>
              <w:spacing w:after="60"/>
            </w:pPr>
            <w:r>
              <w:rPr>
                <w:rFonts w:ascii="Calibri" w:hAnsi="Calibri"/>
                <w:b/>
                <w:i w:val="0"/>
                <w:color w:val="117A8B"/>
                <w:sz w:val="18"/>
              </w:rPr>
              <w:t>OUTCOME</w:t>
            </w:r>
          </w:p>
          <w:p>
            <w:pPr>
              <w:spacing w:after="0"/>
            </w:pPr>
            <w:r>
              <w:rPr>
                <w:rFonts w:ascii="Calibri" w:hAnsi="Calibri"/>
                <w:b/>
                <w:i w:val="0"/>
                <w:color w:val="17324D"/>
                <w:sz w:val="22"/>
              </w:rPr>
              <w:t>Prepare a safe controlled pilot with monitoring, backups, accessibility, mobile polish and end-to-end regression.</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Delivery field</w:t>
            </w:r>
          </w:p>
        </w:tc>
        <w:tc>
          <w:tcPr>
            <w:tcW w:type="dxa" w:w="7344"/>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 requirement</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Branch</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codex/solo-release-hardening</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Screens / states</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Onboarding checklist; support/feedback; production error states; responsive polish</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Backend / API</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Health/monitoring; backup/restore; rate limits; indexes; audit review; seed/pilot tools</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Acceptance criteria</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All release gates pass; no P0/P1 defects; backup restore works; 3-5 pilot lawyers can onboard with documented limits.</w:t>
            </w:r>
          </w:p>
        </w:tc>
      </w:tr>
      <w:tr>
        <w:trPr/>
        <w:tc>
          <w:tcPr>
            <w:tcW w:type="dxa" w:w="2016"/>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Verification</w:t>
            </w:r>
          </w:p>
        </w:tc>
        <w:tc>
          <w:tcPr>
            <w:tcW w:type="dxa" w:w="7344"/>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Full test/build/E2E; restore drill; accessibility; mobile; load smoke; pilot checklist</w:t>
            </w:r>
          </w:p>
        </w:tc>
      </w:tr>
      <w:tr>
        <w:trPr/>
        <w:tc>
          <w:tcPr>
            <w:tcW w:type="dxa" w:w="2016"/>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Commit</w:t>
            </w:r>
          </w:p>
        </w:tc>
        <w:tc>
          <w:tcPr>
            <w:tcW w:type="dxa" w:w="7344"/>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9"/>
              </w:rPr>
              <w:t>test(release): harden solo lawyer MVP</w:t>
            </w:r>
          </w:p>
        </w:tc>
      </w:tr>
    </w:tbl>
    <w:p>
      <w:pPr>
        <w:spacing w:after="20"/>
      </w:pPr>
    </w:p>
    <w:p>
      <w:pPr>
        <w:pStyle w:val="Heading2"/>
      </w:pPr>
      <w:r>
        <w:t>Codex implementation prompt</w:t>
      </w:r>
    </w:p>
    <w:p>
      <w:pPr>
        <w:spacing w:after="160" w:line="276" w:lineRule="auto"/>
        <w:ind w:left="259" w:right="259"/>
      </w:pPr>
      <w:r>
        <w:rPr>
          <w:rFonts w:ascii="Calibri" w:hAnsi="Calibri"/>
          <w:b w:val="0"/>
          <w:i w:val="0"/>
          <w:color w:val="182230"/>
          <w:sz w:val="20"/>
        </w:rPr>
        <w:t>You are a senior full-stack engineer implementing Lexora Solo, a focused legal work-to-payment product for independent lawyers. Work on branch `codex/solo-release-hardening` based on `codex/solo-lawyer-mvp`. The required outcome is: Prepare a safe controlled pilot with monitoring, backups, accessibility, mobile polish and end-to-end regression. Implement these screens and states: Onboarding checklist; support/feedback; production error states; responsive polish. Backend/API scope: Health/monitoring; backup/restore; rate limits; indexes; audit review; seed/pilot tools. Inspect existing routes, controllers, models, validators, tests and frontend API clients before editing. Reuse existing components and preserve legacy data compatibility. All retained records must be scoped to the authenticated workspace; never trust ownership fields from the client. Use real API data and honest recovery states. The work is complete only when: All release gates pass; no P0/P1 defects; backup restore works; 3-5 pilot lawyers can onboard with documented limits.</w:t>
      </w:r>
    </w:p>
    <w:p>
      <w:pPr>
        <w:pStyle w:val="Heading2"/>
      </w:pPr>
      <w:r>
        <w:t>Implementation guardrails</w:t>
      </w:r>
    </w:p>
    <w:p>
      <w:pPr>
        <w:pStyle w:val="ListBullet"/>
        <w:spacing w:after="80" w:line="300" w:lineRule="auto"/>
        <w:ind w:left="540" w:hanging="271"/>
      </w:pPr>
      <w:r>
        <w:rPr>
          <w:rFonts w:ascii="Calibri" w:hAnsi="Calibri"/>
          <w:b w:val="0"/>
          <w:i w:val="0"/>
          <w:color w:val="182230"/>
          <w:sz w:val="22"/>
        </w:rPr>
        <w:t>Make additive schema changes first; migrate and verify before removing legacy fields or states.</w:t>
      </w:r>
    </w:p>
    <w:p>
      <w:pPr>
        <w:pStyle w:val="ListBullet"/>
        <w:spacing w:after="80" w:line="300" w:lineRule="auto"/>
        <w:ind w:left="540" w:hanging="271"/>
      </w:pPr>
      <w:r>
        <w:rPr>
          <w:rFonts w:ascii="Calibri" w:hAnsi="Calibri"/>
          <w:b w:val="0"/>
          <w:i w:val="0"/>
          <w:color w:val="182230"/>
          <w:sz w:val="22"/>
        </w:rPr>
        <w:t>Prefer one canonical workflow over parallel conversion paths.</w:t>
      </w:r>
    </w:p>
    <w:p>
      <w:pPr>
        <w:pStyle w:val="ListBullet"/>
        <w:spacing w:after="80" w:line="300" w:lineRule="auto"/>
        <w:ind w:left="540" w:hanging="271"/>
      </w:pPr>
      <w:r>
        <w:rPr>
          <w:rFonts w:ascii="Calibri" w:hAnsi="Calibri"/>
          <w:b w:val="0"/>
          <w:i w:val="0"/>
          <w:color w:val="182230"/>
          <w:sz w:val="22"/>
        </w:rPr>
        <w:t>Calculate financial totals server-side and preserve idempotency for every conversion.</w:t>
      </w:r>
    </w:p>
    <w:p>
      <w:pPr>
        <w:pStyle w:val="ListBullet"/>
        <w:spacing w:after="80" w:line="300" w:lineRule="auto"/>
        <w:ind w:left="540" w:hanging="271"/>
      </w:pPr>
      <w:r>
        <w:rPr>
          <w:rFonts w:ascii="Calibri" w:hAnsi="Calibri"/>
          <w:b w:val="0"/>
          <w:i w:val="0"/>
          <w:color w:val="182230"/>
          <w:sz w:val="22"/>
        </w:rPr>
        <w:t>Add tests with the implementation, including a failure or boundary case.</w:t>
      </w:r>
    </w:p>
    <w:p>
      <w:pPr>
        <w:pStyle w:val="ListBullet"/>
        <w:spacing w:after="80" w:line="300" w:lineRule="auto"/>
        <w:ind w:left="540" w:hanging="271"/>
      </w:pPr>
      <w:r>
        <w:rPr>
          <w:rFonts w:ascii="Calibri" w:hAnsi="Calibri"/>
          <w:b w:val="0"/>
          <w:i w:val="0"/>
          <w:color w:val="182230"/>
          <w:sz w:val="22"/>
        </w:rPr>
        <w:t>Do not reintroduce multi-user approvals, RBAC, HR/payroll or enterprise administration.</w:t>
      </w:r>
    </w:p>
    <w:p>
      <w:pPr>
        <w:pStyle w:val="ListBullet"/>
        <w:spacing w:after="80" w:line="300" w:lineRule="auto"/>
        <w:ind w:left="540" w:hanging="271"/>
      </w:pPr>
      <w:r>
        <w:rPr>
          <w:rFonts w:ascii="Calibri" w:hAnsi="Calibri"/>
          <w:b w:val="0"/>
          <w:i w:val="0"/>
          <w:color w:val="182230"/>
          <w:sz w:val="22"/>
        </w:rPr>
        <w:t>Do not commit secrets, generated build output or unrelated user changes.</w:t>
      </w:r>
    </w:p>
    <w:p>
      <w:pPr>
        <w:pStyle w:val="Heading2"/>
      </w:pPr>
      <w:r>
        <w:t>Required completion response</w:t>
      </w:r>
    </w:p>
    <w:p>
      <w:pPr>
        <w:spacing w:after="80" w:line="300" w:lineRule="auto"/>
        <w:ind w:left="540" w:hanging="271"/>
      </w:pPr>
      <w:r>
        <w:rPr>
          <w:rFonts w:ascii="Calibri" w:hAnsi="Calibri"/>
          <w:b w:val="0"/>
          <w:i w:val="0"/>
          <w:color w:val="182230"/>
          <w:sz w:val="22"/>
        </w:rPr>
        <w:t>1.  Implementation summary</w:t>
      </w:r>
    </w:p>
    <w:p>
      <w:pPr>
        <w:spacing w:after="80" w:line="300" w:lineRule="auto"/>
        <w:ind w:left="540" w:hanging="271"/>
      </w:pPr>
      <w:r>
        <w:rPr>
          <w:rFonts w:ascii="Calibri" w:hAnsi="Calibri"/>
          <w:b w:val="0"/>
          <w:i w:val="0"/>
          <w:color w:val="182230"/>
          <w:sz w:val="22"/>
        </w:rPr>
        <w:t>2.  Screens/routes completed</w:t>
      </w:r>
    </w:p>
    <w:p>
      <w:pPr>
        <w:spacing w:after="80" w:line="300" w:lineRule="auto"/>
        <w:ind w:left="540" w:hanging="271"/>
      </w:pPr>
      <w:r>
        <w:rPr>
          <w:rFonts w:ascii="Calibri" w:hAnsi="Calibri"/>
          <w:b w:val="0"/>
          <w:i w:val="0"/>
          <w:color w:val="182230"/>
          <w:sz w:val="22"/>
        </w:rPr>
        <w:t>3.  API/schema changes</w:t>
      </w:r>
    </w:p>
    <w:p>
      <w:pPr>
        <w:spacing w:after="80" w:line="300" w:lineRule="auto"/>
        <w:ind w:left="540" w:hanging="271"/>
      </w:pPr>
      <w:r>
        <w:rPr>
          <w:rFonts w:ascii="Calibri" w:hAnsi="Calibri"/>
          <w:b w:val="0"/>
          <w:i w:val="0"/>
          <w:color w:val="182230"/>
          <w:sz w:val="22"/>
        </w:rPr>
        <w:t>4.  Migration or compatibility notes</w:t>
      </w:r>
    </w:p>
    <w:p>
      <w:pPr>
        <w:spacing w:after="80" w:line="300" w:lineRule="auto"/>
        <w:ind w:left="540" w:hanging="271"/>
      </w:pPr>
      <w:r>
        <w:rPr>
          <w:rFonts w:ascii="Calibri" w:hAnsi="Calibri"/>
          <w:b w:val="0"/>
          <w:i w:val="0"/>
          <w:color w:val="182230"/>
          <w:sz w:val="22"/>
        </w:rPr>
        <w:t>5.  Tests and exact verification commands</w:t>
      </w:r>
    </w:p>
    <w:p>
      <w:pPr>
        <w:spacing w:after="80" w:line="300" w:lineRule="auto"/>
        <w:ind w:left="540" w:hanging="271"/>
      </w:pPr>
      <w:r>
        <w:rPr>
          <w:rFonts w:ascii="Calibri" w:hAnsi="Calibri"/>
          <w:b w:val="0"/>
          <w:i w:val="0"/>
          <w:color w:val="182230"/>
          <w:sz w:val="22"/>
        </w:rPr>
        <w:t>6.  Known limitations</w:t>
      </w:r>
    </w:p>
    <w:p>
      <w:pPr>
        <w:spacing w:after="80" w:line="300" w:lineRule="auto"/>
        <w:ind w:left="540" w:hanging="271"/>
      </w:pPr>
      <w:r>
        <w:rPr>
          <w:rFonts w:ascii="Calibri" w:hAnsi="Calibri"/>
          <w:b w:val="0"/>
          <w:i w:val="0"/>
          <w:color w:val="182230"/>
          <w:sz w:val="22"/>
        </w:rPr>
        <w:t>7.  Suggested commit: test(release): harden solo lawyer MVP</w:t>
      </w:r>
    </w:p>
    <w:p>
      <w:pPr>
        <w:pStyle w:val="Heading1"/>
        <w:pageBreakBefore/>
      </w:pPr>
      <w:r>
        <w:t>5. Screen inventory</w:t>
      </w:r>
    </w:p>
    <w:tbl>
      <w:tblPr>
        <w:tblStyle w:val="TableGrid"/>
        <w:tblW w:type="dxa" w:w="9360"/>
        <w:jc w:val="left"/>
        <w:tblLayout w:type="fixed"/>
        <w:tblLook w:firstColumn="1" w:firstRow="1" w:lastColumn="0" w:lastRow="0" w:noHBand="0" w:noVBand="1" w:val="04A0"/>
        <w:tblInd w:type="dxa" w:w="120"/>
      </w:tblPr>
      <w:tblGrid>
        <w:gridCol w:w="1200"/>
        <w:gridCol w:w="2480"/>
        <w:gridCol w:w="2640"/>
        <w:gridCol w:w="1440"/>
        <w:gridCol w:w="880"/>
        <w:gridCol w:w="720"/>
      </w:tblGrid>
      <w:tr>
        <w:trPr>
          <w:tblHeader w:val="true"/>
        </w:trPr>
        <w:tc>
          <w:tcPr>
            <w:tcW w:type="dxa" w:w="120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Module</w:t>
            </w:r>
          </w:p>
        </w:tc>
        <w:tc>
          <w:tcPr>
            <w:tcW w:type="dxa" w:w="248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Screen</w:t>
            </w:r>
          </w:p>
        </w:tc>
        <w:tc>
          <w:tcPr>
            <w:tcW w:type="dxa" w:w="264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Route</w:t>
            </w:r>
          </w:p>
        </w:tc>
        <w:tc>
          <w:tcPr>
            <w:tcW w:type="dxa" w:w="144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Action</w:t>
            </w:r>
          </w:p>
        </w:tc>
        <w:tc>
          <w:tcPr>
            <w:tcW w:type="dxa" w:w="88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Sprint</w:t>
            </w:r>
          </w:p>
        </w:tc>
        <w:tc>
          <w:tcPr>
            <w:tcW w:type="dxa" w:w="720"/>
            <w:vAlign w:val="center"/>
            <w:shd w:fill="17324D"/>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pPr>
            <w:r>
              <w:rPr>
                <w:rFonts w:ascii="Calibri" w:hAnsi="Calibri"/>
                <w:b/>
                <w:i w:val="0"/>
                <w:color w:val="FFFFFF"/>
                <w:sz w:val="18"/>
              </w:rPr>
              <w:t>Branch</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Account</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Login</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/login</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simplify</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Account</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Register</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/register</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Account</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Password recovery</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/forgot-password</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Complete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Account</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Solo onboarding</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/onboarding</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Account</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Owner profile/settings</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/app/settings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Dashboard</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Solo dashboard</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/app/dashboard</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S4</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O</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 list</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/app/clients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 form</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/app/clients/new</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Client detail &amp; balance</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/app/clients/:id</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 list</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/app/matters</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 form</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/app/matters/new</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Matter workspace</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/app/matters/:id</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S1</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D</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Tasks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Task list / today</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/app/tasks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Simplify</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Tasks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Task form/detail</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/app/tasks/:id</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Work</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Work Meter</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/app/work-meter</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F</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Work</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Manual time entry</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/app/work-entries/new</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F</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Work</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Unified Work Entries</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/app/work-entries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New/compose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H</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Work</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Entry edit/review</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/app/work-entries/:id</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New/compose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H</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Capture</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Extension setup/status</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/app/capture/setup</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Simplify</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G</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Capture</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Gmail/research review</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/app/captured-work</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Compose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S2</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G</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Billing</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Rates settings</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/app/settings/rates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Billing</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Billing workbench / WIP</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/app/billing</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Expenses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Expense list</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/app/expenses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J</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Expenses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Expense form</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/app/expenses/new</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J</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 list</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/app/invoices</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 builder</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/app/invoices/new</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 detail</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/app/invoices/:id</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PDF preview</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/app/invoices/:id/preview</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Complete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S3</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L</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Invoices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Send/delivery history</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/app/invoices/:id/send</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Complete</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S4</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M</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Payments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Payments and allocation</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/app/payments</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Keep / harden</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S4</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w:t>
            </w:r>
          </w:p>
        </w:tc>
      </w:tr>
      <w:tr>
        <w:trPr/>
        <w:tc>
          <w:tcPr>
            <w:tcW w:type="dxa" w:w="120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Payments</w:t>
            </w:r>
          </w:p>
        </w:tc>
        <w:tc>
          <w:tcPr>
            <w:tcW w:type="dxa" w:w="24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Receipt</w:t>
            </w:r>
          </w:p>
        </w:tc>
        <w:tc>
          <w:tcPr>
            <w:tcW w:type="dxa" w:w="26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/app/payments/:id/receipt</w:t>
            </w:r>
          </w:p>
        </w:tc>
        <w:tc>
          <w:tcPr>
            <w:tcW w:type="dxa" w:w="144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New</w:t>
            </w:r>
          </w:p>
        </w:tc>
        <w:tc>
          <w:tcPr>
            <w:tcW w:type="dxa" w:w="88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S4</w:t>
            </w:r>
          </w:p>
        </w:tc>
        <w:tc>
          <w:tcPr>
            <w:tcW w:type="dxa" w:w="720"/>
            <w:vAlign w:val="center"/>
            <w:shd w:fill="F8FAFC"/>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N</w:t>
            </w:r>
          </w:p>
        </w:tc>
      </w:tr>
      <w:tr>
        <w:trPr/>
        <w:tc>
          <w:tcPr>
            <w:tcW w:type="dxa" w:w="120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Reports</w:t>
            </w:r>
          </w:p>
        </w:tc>
        <w:tc>
          <w:tcPr>
            <w:tcW w:type="dxa" w:w="24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Income and outstanding</w:t>
            </w:r>
          </w:p>
        </w:tc>
        <w:tc>
          <w:tcPr>
            <w:tcW w:type="dxa" w:w="26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/app/reports</w:t>
            </w:r>
          </w:p>
        </w:tc>
        <w:tc>
          <w:tcPr>
            <w:tcW w:type="dxa" w:w="144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Revise</w:t>
            </w:r>
          </w:p>
        </w:tc>
        <w:tc>
          <w:tcPr>
            <w:tcW w:type="dxa" w:w="88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S4</w:t>
            </w:r>
          </w:p>
        </w:tc>
        <w:tc>
          <w:tcPr>
            <w:tcW w:type="dxa" w:w="720"/>
            <w:vAlign w:val="center"/>
            <w:shd w:fill="FFFFFF"/>
            <w:tcBorders>
              <w:top w:val="single" w:sz="4" w:color="D0D5DD"/>
              <w:left w:val="single" w:sz="4" w:color="D0D5DD"/>
              <w:bottom w:val="single" w:sz="4" w:color="D0D5DD"/>
              <w:right w:val="single" w:sz="4" w:color="D0D5DD"/>
              <w:insideH w:val="single" w:sz="4" w:color="D0D5DD"/>
              <w:insideV w:val="single" w:sz="4" w:color="D0D5DD"/>
            </w:tcBorders>
            <w:tcMar>
              <w:top w:w="80" w:type="dxa"/>
              <w:bottom w:w="80" w:type="dxa"/>
              <w:start w:w="120" w:type="dxa"/>
              <w:end w:w="120" w:type="dxa"/>
            </w:tcMar>
          </w:tcPr>
          <w:p>
            <w:pPr>
              <w:spacing w:after="0" w:line="259" w:lineRule="auto"/>
            </w:pPr>
            <w:r>
              <w:rPr>
                <w:rFonts w:ascii="Calibri" w:hAnsi="Calibri"/>
                <w:b w:val="0"/>
                <w:i w:val="0"/>
                <w:color w:val="182230"/>
                <w:sz w:val="16"/>
              </w:rPr>
              <w:t>O</w:t>
            </w:r>
          </w:p>
        </w:tc>
      </w:tr>
    </w:tbl>
    <w:p>
      <w:pPr>
        <w:spacing w:after="20"/>
      </w:pPr>
    </w:p>
    <w:p>
      <w:pPr>
        <w:pStyle w:val="Heading1"/>
      </w:pPr>
      <w:r>
        <w:t>6. Pilot launch playbook</w:t>
      </w:r>
    </w:p>
    <w:p>
      <w:pPr>
        <w:pStyle w:val="Heading2"/>
      </w:pPr>
      <w:r>
        <w:t>Pilot cohort</w:t>
      </w:r>
    </w:p>
    <w:p>
      <w:r>
        <w:t>Recruit 3-5 independent lawyers who currently track work manually or in spreadsheets. Use separate workspaces, realistic client/matter data and at least one invoice cycle per participant.</w:t>
      </w:r>
    </w:p>
    <w:p>
      <w:pPr>
        <w:pStyle w:val="Heading2"/>
      </w:pPr>
      <w:r>
        <w:t>Pilot week measures</w:t>
      </w:r>
    </w:p>
    <w:p>
      <w:pPr>
        <w:pStyle w:val="ListBullet"/>
        <w:spacing w:after="80" w:line="300" w:lineRule="auto"/>
        <w:ind w:left="540" w:hanging="271"/>
      </w:pPr>
      <w:r>
        <w:rPr>
          <w:rFonts w:ascii="Calibri" w:hAnsi="Calibri"/>
          <w:b w:val="0"/>
          <w:i w:val="0"/>
          <w:color w:val="182230"/>
          <w:sz w:val="22"/>
        </w:rPr>
        <w:t>Activation: account created, practice settings completed, first client and matter created.</w:t>
      </w:r>
    </w:p>
    <w:p>
      <w:pPr>
        <w:pStyle w:val="ListBullet"/>
        <w:spacing w:after="80" w:line="300" w:lineRule="auto"/>
        <w:ind w:left="540" w:hanging="271"/>
      </w:pPr>
      <w:r>
        <w:rPr>
          <w:rFonts w:ascii="Calibri" w:hAnsi="Calibri"/>
          <w:b w:val="0"/>
          <w:i w:val="0"/>
          <w:color w:val="182230"/>
          <w:sz w:val="22"/>
        </w:rPr>
        <w:t>Capture: first timer/manual/Gmail entry recorded and reviewed.</w:t>
      </w:r>
    </w:p>
    <w:p>
      <w:pPr>
        <w:pStyle w:val="ListBullet"/>
        <w:spacing w:after="80" w:line="300" w:lineRule="auto"/>
        <w:ind w:left="540" w:hanging="271"/>
      </w:pPr>
      <w:r>
        <w:rPr>
          <w:rFonts w:ascii="Calibri" w:hAnsi="Calibri"/>
          <w:b w:val="0"/>
          <w:i w:val="0"/>
          <w:color w:val="182230"/>
          <w:sz w:val="22"/>
        </w:rPr>
        <w:t>Billing: first ready-to-bill item and invoice generated.</w:t>
      </w:r>
    </w:p>
    <w:p>
      <w:pPr>
        <w:pStyle w:val="ListBullet"/>
        <w:spacing w:after="80" w:line="300" w:lineRule="auto"/>
        <w:ind w:left="540" w:hanging="271"/>
      </w:pPr>
      <w:r>
        <w:rPr>
          <w:rFonts w:ascii="Calibri" w:hAnsi="Calibri"/>
          <w:b w:val="0"/>
          <w:i w:val="0"/>
          <w:color w:val="182230"/>
          <w:sz w:val="22"/>
        </w:rPr>
        <w:t>Collection: payment recorded or outstanding invoice correctly aged.</w:t>
      </w:r>
    </w:p>
    <w:p>
      <w:pPr>
        <w:pStyle w:val="ListBullet"/>
        <w:spacing w:after="80" w:line="300" w:lineRule="auto"/>
        <w:ind w:left="540" w:hanging="271"/>
      </w:pPr>
      <w:r>
        <w:rPr>
          <w:rFonts w:ascii="Calibri" w:hAnsi="Calibri"/>
          <w:b w:val="0"/>
          <w:i w:val="0"/>
          <w:color w:val="182230"/>
          <w:sz w:val="22"/>
        </w:rPr>
        <w:t>Quality: capture failures, duplicate prevention events, invoice corrections and support requests.</w:t>
      </w:r>
    </w:p>
    <w:p>
      <w:pPr>
        <w:pStyle w:val="Heading2"/>
      </w:pPr>
      <w:r>
        <w:t>Go / no-go decision</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9F7F5"/>
            <w:tcBorders>
              <w:top w:val="single" w:sz="8" w:color="147D64"/>
              <w:left w:val="single" w:sz="8" w:color="147D64"/>
              <w:bottom w:val="single" w:sz="8" w:color="147D64"/>
              <w:right w:val="single" w:sz="8" w:color="147D64"/>
              <w:insideH w:val="single" w:sz="8" w:color="147D64"/>
              <w:insideV w:val="single" w:sz="8" w:color="147D64"/>
            </w:tcBorders>
            <w:tcMar>
              <w:top w:w="80" w:type="dxa"/>
              <w:bottom w:w="80" w:type="dxa"/>
              <w:start w:w="120" w:type="dxa"/>
              <w:end w:w="120" w:type="dxa"/>
            </w:tcMar>
          </w:tcPr>
          <w:p>
            <w:pPr>
              <w:spacing w:after="60"/>
            </w:pPr>
            <w:r>
              <w:rPr>
                <w:rFonts w:ascii="Calibri" w:hAnsi="Calibri"/>
                <w:b/>
                <w:i w:val="0"/>
                <w:color w:val="147D64"/>
                <w:sz w:val="18"/>
              </w:rPr>
              <w:t>GO</w:t>
            </w:r>
          </w:p>
          <w:p>
            <w:pPr>
              <w:spacing w:after="0"/>
            </w:pPr>
            <w:r>
              <w:rPr>
                <w:rFonts w:ascii="Calibri" w:hAnsi="Calibri"/>
                <w:b/>
                <w:i w:val="0"/>
                <w:color w:val="17324D"/>
                <w:sz w:val="22"/>
              </w:rPr>
              <w:t>Proceed beyond controlled pilot only when all release gates pass, at least three lawyers complete the end-to-end flow, and no financial or isolation defect remains unresolved.</w:t>
            </w:r>
          </w:p>
        </w:tc>
      </w:tr>
    </w:tbl>
    <w:p>
      <w:pPr>
        <w:spacing w:after="20"/>
      </w:pPr>
    </w:p>
    <w:p>
      <w:pPr>
        <w:pStyle w:val="Heading1"/>
      </w:pPr>
      <w:r>
        <w:t>7. Future integration boundary</w:t>
      </w:r>
    </w:p>
    <w:p>
      <w:r>
        <w:t>After the solo workflow is stable, expose bounded integration contracts instead of expanding into a full ERP. Clients and matters may sync from CRM/practice systems; invoices and payments may sync with accounting systems.</w:t>
      </w:r>
    </w:p>
    <w:p>
      <w:r>
        <w:t>Prioritised options: workspace-scoped REST API; outbound webhooks for work-ready, invoice-sent and payment-cleared events; CSV migration/accountant handoff; Zoho CRM/Books, QuickBooks or Xero adapters; Google/Microsoft calendar connections; and practice-management platform connectors.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LEXORA SOLO  |  PRODUCT DELIVERY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