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B2545"/>
          <w:sz w:val="44"/>
        </w:rPr>
        <w:t>BillSync Legal: Fresh Tool Analysis and SDLC Phase 1 Research</w:t>
      </w:r>
    </w:p>
    <w:p>
      <w:r>
        <w:t>Prepared as a senior product management discovery package for a law-firm billing system. Date: June 6, 2026.</w:t>
      </w:r>
    </w:p>
    <w:p/>
    <w:p>
      <w:pPr>
        <w:pStyle w:val="Heading1"/>
      </w:pPr>
      <w:r>
        <w:t>Executive Product Thesis</w:t>
      </w:r>
    </w:p>
    <w:p>
      <w:pPr>
        <w:spacing w:after="120"/>
      </w:pPr>
      <w:r>
        <w:t>BillSync should be positioned as an evidence-first legal billing operating system for Indian law firms, not merely another time tracker or practice ERP. The central wedge is simple: legal work already happens across Gmail, research browsers, documents, calls, meetings, and court hearings, but billing is often reconstructed later from memory. That delay creates avoidable revenue leakage, weak narratives, partner write-downs, and poor visibility into work-in-progress.</w:t>
      </w:r>
    </w:p>
    <w:p>
      <w:pPr>
        <w:spacing w:after="120"/>
      </w:pPr>
      <w:r>
        <w:t>The existing BillSync MVP already proves the essential capture-to-cash spine: web work meter, Gmail and browser research capture, client/matter mapping, AI-assisted narratives, time entries, approval, billables, invoices, analytics, and Zoho integration [S1]. The fresh product opportunity is to extend this into a trusted effort-capture fabric that records all meaningful lawyer effort while preserving professional dignity, privacy, and client defensibility.</w:t>
      </w:r>
    </w:p>
    <w:p>
      <w:pPr>
        <w:spacing w:after="120"/>
      </w:pPr>
      <w:r>
        <w:t>The strategic claim: BillSync can recover the 20-40 percent of lawyer effort that is commonly lost, shortened, or written off when lawyers batch billing at the end of a day or week. The 20-40 percent range should be used as a discovery hypothesis for investor and pilot conversations, not as a certified market statistic. External literature strongly supports the direction: delayed reconstruction causes small tasks to disappear, time and billing systems are a core part of firm financial control, and modern tools increasingly market themselves around recovering missed billable time [S8][S9][S10][S11].</w:t>
      </w:r>
    </w:p>
    <w:p>
      <w:pPr>
        <w:pStyle w:val="Heading1"/>
      </w:pPr>
      <w:r>
        <w:t>Phase 1 SDLC Research Objective</w:t>
      </w:r>
    </w:p>
    <w:p>
      <w:pPr>
        <w:spacing w:after="120"/>
      </w:pPr>
      <w:r>
        <w:t>This document is the first-phase SDLC literature and product-discovery pack. It translates market research, existing BillSync capabilities, competitor signals, and Indian law-firm workflows into a product strategy, requirements direction, and demo story.</w:t>
      </w:r>
    </w:p>
    <w:p>
      <w:pPr>
        <w:pStyle w:val="ListBullet"/>
      </w:pPr>
      <w:r>
        <w:t>Define the problem with enough precision to guide product, engineering, compliance, and sales.</w:t>
      </w:r>
    </w:p>
    <w:p>
      <w:pPr>
        <w:pStyle w:val="ListBullet"/>
      </w:pPr>
      <w:r>
        <w:t>Identify available ERP, billing, and practice-management tools relevant to Indian law firms.</w:t>
      </w:r>
    </w:p>
    <w:p>
      <w:pPr>
        <w:pStyle w:val="ListBullet"/>
      </w:pPr>
      <w:r>
        <w:t>Map competitor strengths and limitations against BillSync's capture-first thesis.</w:t>
      </w:r>
    </w:p>
    <w:p>
      <w:pPr>
        <w:pStyle w:val="ListBullet"/>
      </w:pPr>
      <w:r>
        <w:t>Recommend an MVP-plus roadmap that combines Gmail capture, research capture, meeting and call recording, Hubstaff-style effort metering, and court hearing self-metering.</w:t>
      </w:r>
    </w:p>
    <w:p>
      <w:pPr>
        <w:pStyle w:val="ListBullet"/>
      </w:pPr>
      <w:r>
        <w:t>Frame the investor/CTO narrative around revenue recovery, workflow defensibility, privacy, and engineering feasibility.</w:t>
      </w:r>
    </w:p>
    <w:p>
      <w:pPr>
        <w:pStyle w:val="Heading1"/>
      </w:pPr>
      <w:r>
        <w:t>Existing BillSync Baseline</w:t>
      </w:r>
    </w:p>
    <w:p>
      <w:pPr>
        <w:spacing w:after="120"/>
      </w:pPr>
      <w:r>
        <w:t>The June 6 PRD/SRS describes BillSync as a legal-specific work capture and billing pipeline with three main surfaces: React/Vite web app, Node/Express API with MongoDB, and Chrome extension for Gmail and browser research capture [S1].</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fill="E8EEF5"/>
            <w:vAlign w:val="center"/>
          </w:tcPr>
          <w:p>
            <w:pPr>
              <w:spacing w:after="0"/>
            </w:pPr>
            <w:r/>
            <w:r>
              <w:rPr>
                <w:rFonts w:ascii="Calibri" w:hAnsi="Calibri"/>
                <w:b/>
                <w:color w:val="0B2545"/>
                <w:sz w:val="17"/>
              </w:rPr>
              <w:t>Existing capability</w:t>
            </w:r>
          </w:p>
        </w:tc>
        <w:tc>
          <w:tcPr>
            <w:tcW w:type="dxa" w:w="3312"/>
            <w:shd w:fill="E8EEF5"/>
            <w:vAlign w:val="center"/>
          </w:tcPr>
          <w:p>
            <w:pPr>
              <w:spacing w:after="0"/>
            </w:pPr>
            <w:r/>
            <w:r>
              <w:rPr>
                <w:rFonts w:ascii="Calibri" w:hAnsi="Calibri"/>
                <w:b/>
                <w:color w:val="0B2545"/>
                <w:sz w:val="17"/>
              </w:rPr>
              <w:t>What it already proves</w:t>
            </w:r>
          </w:p>
        </w:tc>
        <w:tc>
          <w:tcPr>
            <w:tcW w:type="dxa" w:w="3456"/>
            <w:shd w:fill="E8EEF5"/>
            <w:vAlign w:val="center"/>
          </w:tcPr>
          <w:p>
            <w:pPr>
              <w:spacing w:after="0"/>
            </w:pPr>
            <w:r/>
            <w:r>
              <w:rPr>
                <w:rFonts w:ascii="Calibri" w:hAnsi="Calibri"/>
                <w:b/>
                <w:color w:val="0B2545"/>
                <w:sz w:val="17"/>
              </w:rPr>
              <w:t>Phase 1 implication</w:t>
            </w:r>
          </w:p>
        </w:tc>
      </w:tr>
      <w:tr>
        <w:tc>
          <w:tcPr>
            <w:tcW w:type="dxa" w:w="2304"/>
            <w:vAlign w:val="top"/>
          </w:tcPr>
          <w:p>
            <w:pPr>
              <w:spacing w:after="0"/>
            </w:pPr>
            <w:r/>
            <w:r>
              <w:rPr>
                <w:rFonts w:ascii="Calibri" w:hAnsi="Calibri"/>
                <w:b w:val="0"/>
                <w:sz w:val="17"/>
              </w:rPr>
              <w:t>Web work meter</w:t>
            </w:r>
          </w:p>
        </w:tc>
        <w:tc>
          <w:tcPr>
            <w:tcW w:type="dxa" w:w="3312"/>
            <w:vAlign w:val="top"/>
          </w:tcPr>
          <w:p>
            <w:pPr>
              <w:spacing w:after="0"/>
            </w:pPr>
            <w:r/>
            <w:r>
              <w:rPr>
                <w:rFonts w:ascii="Calibri" w:hAnsi="Calibri"/>
                <w:b w:val="0"/>
                <w:sz w:val="17"/>
              </w:rPr>
              <w:t>Users can start, heartbeat, pause, resume, stop, discard, and convert sessions.</w:t>
            </w:r>
          </w:p>
        </w:tc>
        <w:tc>
          <w:tcPr>
            <w:tcW w:type="dxa" w:w="3456"/>
            <w:vAlign w:val="top"/>
          </w:tcPr>
          <w:p>
            <w:pPr>
              <w:spacing w:after="0"/>
            </w:pPr>
            <w:r/>
            <w:r>
              <w:rPr>
                <w:rFonts w:ascii="Calibri" w:hAnsi="Calibri"/>
                <w:b w:val="0"/>
                <w:sz w:val="17"/>
              </w:rPr>
              <w:t>Good base for the hubstaff-like meter and matter-linked activity evidence.</w:t>
            </w:r>
          </w:p>
        </w:tc>
      </w:tr>
      <w:tr>
        <w:tc>
          <w:tcPr>
            <w:tcW w:type="dxa" w:w="2304"/>
            <w:vAlign w:val="top"/>
          </w:tcPr>
          <w:p>
            <w:pPr>
              <w:spacing w:after="0"/>
            </w:pPr>
            <w:r/>
            <w:r>
              <w:rPr>
                <w:rFonts w:ascii="Calibri" w:hAnsi="Calibri"/>
                <w:b w:val="0"/>
                <w:sz w:val="17"/>
              </w:rPr>
              <w:t>Gmail extension capture</w:t>
            </w:r>
          </w:p>
        </w:tc>
        <w:tc>
          <w:tcPr>
            <w:tcW w:type="dxa" w:w="3312"/>
            <w:vAlign w:val="top"/>
          </w:tcPr>
          <w:p>
            <w:pPr>
              <w:spacing w:after="0"/>
            </w:pPr>
            <w:r/>
            <w:r>
              <w:rPr>
                <w:rFonts w:ascii="Calibri" w:hAnsi="Calibri"/>
                <w:b w:val="0"/>
                <w:sz w:val="17"/>
              </w:rPr>
              <w:t>Captures active typing duration and metadata without email body content.</w:t>
            </w:r>
          </w:p>
        </w:tc>
        <w:tc>
          <w:tcPr>
            <w:tcW w:type="dxa" w:w="3456"/>
            <w:vAlign w:val="top"/>
          </w:tcPr>
          <w:p>
            <w:pPr>
              <w:spacing w:after="0"/>
            </w:pPr>
            <w:r/>
            <w:r>
              <w:rPr>
                <w:rFonts w:ascii="Calibri" w:hAnsi="Calibri"/>
                <w:b w:val="0"/>
                <w:sz w:val="17"/>
              </w:rPr>
              <w:t>Strong privacy wedge; extend to reply/read/research context only with explicit controls.</w:t>
            </w:r>
          </w:p>
        </w:tc>
      </w:tr>
      <w:tr>
        <w:tc>
          <w:tcPr>
            <w:tcW w:type="dxa" w:w="2304"/>
            <w:vAlign w:val="top"/>
          </w:tcPr>
          <w:p>
            <w:pPr>
              <w:spacing w:after="0"/>
            </w:pPr>
            <w:r/>
            <w:r>
              <w:rPr>
                <w:rFonts w:ascii="Calibri" w:hAnsi="Calibri"/>
                <w:b w:val="0"/>
                <w:sz w:val="17"/>
              </w:rPr>
              <w:t>Browser research capture</w:t>
            </w:r>
          </w:p>
        </w:tc>
        <w:tc>
          <w:tcPr>
            <w:tcW w:type="dxa" w:w="3312"/>
            <w:vAlign w:val="top"/>
          </w:tcPr>
          <w:p>
            <w:pPr>
              <w:spacing w:after="0"/>
            </w:pPr>
            <w:r/>
            <w:r>
              <w:rPr>
                <w:rFonts w:ascii="Calibri" w:hAnsi="Calibri"/>
                <w:b w:val="0"/>
                <w:sz w:val="17"/>
              </w:rPr>
              <w:t>Allows URL/domain metadata and selected notes to become entries.</w:t>
            </w:r>
          </w:p>
        </w:tc>
        <w:tc>
          <w:tcPr>
            <w:tcW w:type="dxa" w:w="3456"/>
            <w:vAlign w:val="top"/>
          </w:tcPr>
          <w:p>
            <w:pPr>
              <w:spacing w:after="0"/>
            </w:pPr>
            <w:r/>
            <w:r>
              <w:rPr>
                <w:rFonts w:ascii="Calibri" w:hAnsi="Calibri"/>
                <w:b w:val="0"/>
                <w:sz w:val="17"/>
              </w:rPr>
              <w:t>Natural path to research-time billing and document-review capture.</w:t>
            </w:r>
          </w:p>
        </w:tc>
      </w:tr>
      <w:tr>
        <w:tc>
          <w:tcPr>
            <w:tcW w:type="dxa" w:w="2304"/>
            <w:vAlign w:val="top"/>
          </w:tcPr>
          <w:p>
            <w:pPr>
              <w:spacing w:after="0"/>
            </w:pPr>
            <w:r/>
            <w:r>
              <w:rPr>
                <w:rFonts w:ascii="Calibri" w:hAnsi="Calibri"/>
                <w:b w:val="0"/>
                <w:sz w:val="17"/>
              </w:rPr>
              <w:t>Approval and invoices</w:t>
            </w:r>
          </w:p>
        </w:tc>
        <w:tc>
          <w:tcPr>
            <w:tcW w:type="dxa" w:w="3312"/>
            <w:vAlign w:val="top"/>
          </w:tcPr>
          <w:p>
            <w:pPr>
              <w:spacing w:after="0"/>
            </w:pPr>
            <w:r/>
            <w:r>
              <w:rPr>
                <w:rFonts w:ascii="Calibri" w:hAnsi="Calibri"/>
                <w:b w:val="0"/>
                <w:sz w:val="17"/>
              </w:rPr>
              <w:t>Submitted time can become approved billables and draft invoices.</w:t>
            </w:r>
          </w:p>
        </w:tc>
        <w:tc>
          <w:tcPr>
            <w:tcW w:type="dxa" w:w="3456"/>
            <w:vAlign w:val="top"/>
          </w:tcPr>
          <w:p>
            <w:pPr>
              <w:spacing w:after="0"/>
            </w:pPr>
            <w:r/>
            <w:r>
              <w:rPr>
                <w:rFonts w:ascii="Calibri" w:hAnsi="Calibri"/>
                <w:b w:val="0"/>
                <w:sz w:val="17"/>
              </w:rPr>
              <w:t>Keeps recovered time from becoming invoice noise.</w:t>
            </w:r>
          </w:p>
        </w:tc>
      </w:tr>
      <w:tr>
        <w:tc>
          <w:tcPr>
            <w:tcW w:type="dxa" w:w="2304"/>
            <w:vAlign w:val="top"/>
          </w:tcPr>
          <w:p>
            <w:pPr>
              <w:spacing w:after="0"/>
            </w:pPr>
            <w:r/>
            <w:r>
              <w:rPr>
                <w:rFonts w:ascii="Calibri" w:hAnsi="Calibri"/>
                <w:b w:val="0"/>
                <w:sz w:val="17"/>
              </w:rPr>
              <w:t>AI assistance</w:t>
            </w:r>
          </w:p>
        </w:tc>
        <w:tc>
          <w:tcPr>
            <w:tcW w:type="dxa" w:w="3312"/>
            <w:vAlign w:val="top"/>
          </w:tcPr>
          <w:p>
            <w:pPr>
              <w:spacing w:after="0"/>
            </w:pPr>
            <w:r/>
            <w:r>
              <w:rPr>
                <w:rFonts w:ascii="Calibri" w:hAnsi="Calibri"/>
                <w:b w:val="0"/>
                <w:sz w:val="17"/>
              </w:rPr>
              <w:t>Drafting, summarization, research analysis, billable narrative generation.</w:t>
            </w:r>
          </w:p>
        </w:tc>
        <w:tc>
          <w:tcPr>
            <w:tcW w:type="dxa" w:w="3456"/>
            <w:vAlign w:val="top"/>
          </w:tcPr>
          <w:p>
            <w:pPr>
              <w:spacing w:after="0"/>
            </w:pPr>
            <w:r/>
            <w:r>
              <w:rPr>
                <w:rFonts w:ascii="Calibri" w:hAnsi="Calibri"/>
                <w:b w:val="0"/>
                <w:sz w:val="17"/>
              </w:rPr>
              <w:t>Use AI as narrative and classification support, not legal advice.</w:t>
            </w:r>
          </w:p>
        </w:tc>
      </w:tr>
      <w:tr>
        <w:tc>
          <w:tcPr>
            <w:tcW w:type="dxa" w:w="2304"/>
            <w:vAlign w:val="top"/>
          </w:tcPr>
          <w:p>
            <w:pPr>
              <w:spacing w:after="0"/>
            </w:pPr>
            <w:r/>
            <w:r>
              <w:rPr>
                <w:rFonts w:ascii="Calibri" w:hAnsi="Calibri"/>
                <w:b w:val="0"/>
                <w:sz w:val="17"/>
              </w:rPr>
              <w:t>Zoho integration</w:t>
            </w:r>
          </w:p>
        </w:tc>
        <w:tc>
          <w:tcPr>
            <w:tcW w:type="dxa" w:w="3312"/>
            <w:vAlign w:val="top"/>
          </w:tcPr>
          <w:p>
            <w:pPr>
              <w:spacing w:after="0"/>
            </w:pPr>
            <w:r/>
            <w:r>
              <w:rPr>
                <w:rFonts w:ascii="Calibri" w:hAnsi="Calibri"/>
                <w:b w:val="0"/>
                <w:sz w:val="17"/>
              </w:rPr>
              <w:t>CRM/WorkDrive routes create ecosystem credibility.</w:t>
            </w:r>
          </w:p>
        </w:tc>
        <w:tc>
          <w:tcPr>
            <w:tcW w:type="dxa" w:w="3456"/>
            <w:vAlign w:val="top"/>
          </w:tcPr>
          <w:p>
            <w:pPr>
              <w:spacing w:after="0"/>
            </w:pPr>
            <w:r/>
            <w:r>
              <w:rPr>
                <w:rFonts w:ascii="Calibri" w:hAnsi="Calibri"/>
                <w:b w:val="0"/>
                <w:sz w:val="17"/>
              </w:rPr>
              <w:t>Indian firms often still need Tally/GST support in later phases.</w:t>
            </w:r>
          </w:p>
        </w:tc>
      </w:tr>
    </w:tbl>
    <w:p/>
    <w:p>
      <w:pPr>
        <w:pStyle w:val="Heading1"/>
      </w:pPr>
      <w:r>
        <w:t>Market Landscape: India-Relevant Tools</w:t>
      </w:r>
    </w:p>
    <w:p>
      <w:pPr>
        <w:spacing w:after="120"/>
      </w:pPr>
      <w:r>
        <w:t>The market is not empty. Indian law firms can already buy practice-management suites, billing tools, research platforms, and general time trackers. The gap is that most tools help users enter, manage, approve, or invoice time after the lawyer has decided to record it. BillSync's opportunity is upstream: detect and package work at the source before memory loss occurs.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E8EEF5"/>
            <w:vAlign w:val="center"/>
          </w:tcPr>
          <w:p>
            <w:pPr>
              <w:spacing w:after="0"/>
            </w:pPr>
            <w:r/>
            <w:r>
              <w:rPr>
                <w:rFonts w:ascii="Calibri" w:hAnsi="Calibri"/>
                <w:b/>
                <w:color w:val="0B2545"/>
                <w:sz w:val="17"/>
              </w:rPr>
              <w:t>Tool</w:t>
            </w:r>
          </w:p>
        </w:tc>
        <w:tc>
          <w:tcPr>
            <w:tcW w:type="dxa" w:w="2088"/>
            <w:shd w:fill="E8EEF5"/>
            <w:vAlign w:val="center"/>
          </w:tcPr>
          <w:p>
            <w:pPr>
              <w:spacing w:after="0"/>
            </w:pPr>
            <w:r/>
            <w:r>
              <w:rPr>
                <w:rFonts w:ascii="Calibri" w:hAnsi="Calibri"/>
                <w:b/>
                <w:color w:val="0B2545"/>
                <w:sz w:val="17"/>
              </w:rPr>
              <w:t>Positioning</w:t>
            </w:r>
          </w:p>
        </w:tc>
        <w:tc>
          <w:tcPr>
            <w:tcW w:type="dxa" w:w="2664"/>
            <w:shd w:fill="E8EEF5"/>
            <w:vAlign w:val="center"/>
          </w:tcPr>
          <w:p>
            <w:pPr>
              <w:spacing w:after="0"/>
            </w:pPr>
            <w:r/>
            <w:r>
              <w:rPr>
                <w:rFonts w:ascii="Calibri" w:hAnsi="Calibri"/>
                <w:b/>
                <w:color w:val="0B2545"/>
                <w:sz w:val="17"/>
              </w:rPr>
              <w:t>Pros</w:t>
            </w:r>
          </w:p>
        </w:tc>
        <w:tc>
          <w:tcPr>
            <w:tcW w:type="dxa" w:w="2880"/>
            <w:shd w:fill="E8EEF5"/>
            <w:vAlign w:val="center"/>
          </w:tcPr>
          <w:p>
            <w:pPr>
              <w:spacing w:after="0"/>
            </w:pPr>
            <w:r/>
            <w:r>
              <w:rPr>
                <w:rFonts w:ascii="Calibri" w:hAnsi="Calibri"/>
                <w:b/>
                <w:color w:val="0B2545"/>
                <w:sz w:val="17"/>
              </w:rPr>
              <w:t>Cons / gap for BillSync to exploit</w:t>
            </w:r>
          </w:p>
        </w:tc>
      </w:tr>
      <w:tr>
        <w:tc>
          <w:tcPr>
            <w:tcW w:type="dxa" w:w="1728"/>
            <w:vAlign w:val="top"/>
          </w:tcPr>
          <w:p>
            <w:pPr>
              <w:spacing w:after="0"/>
            </w:pPr>
            <w:r/>
            <w:r>
              <w:rPr>
                <w:rFonts w:ascii="Calibri" w:hAnsi="Calibri"/>
                <w:b w:val="0"/>
                <w:sz w:val="17"/>
              </w:rPr>
              <w:t>RazorLex / PracticeLeague</w:t>
            </w:r>
          </w:p>
        </w:tc>
        <w:tc>
          <w:tcPr>
            <w:tcW w:type="dxa" w:w="2088"/>
            <w:vAlign w:val="top"/>
          </w:tcPr>
          <w:p>
            <w:pPr>
              <w:spacing w:after="0"/>
            </w:pPr>
            <w:r/>
            <w:r>
              <w:rPr>
                <w:rFonts w:ascii="Calibri" w:hAnsi="Calibri"/>
                <w:b w:val="0"/>
                <w:sz w:val="17"/>
              </w:rPr>
              <w:t>AI-native practice management with matters, billing, finance, documents, CRM, project management, HR, knowledge, and time tracking [S2].</w:t>
            </w:r>
          </w:p>
        </w:tc>
        <w:tc>
          <w:tcPr>
            <w:tcW w:type="dxa" w:w="2664"/>
            <w:vAlign w:val="top"/>
          </w:tcPr>
          <w:p>
            <w:pPr>
              <w:spacing w:after="0"/>
            </w:pPr>
            <w:r/>
            <w:r>
              <w:rPr>
                <w:rFonts w:ascii="Calibri" w:hAnsi="Calibri"/>
                <w:b w:val="0"/>
                <w:sz w:val="17"/>
              </w:rPr>
              <w:t>Enterprise breadth; law-firm-specific; credibility with larger firms; leakage language already validated.</w:t>
            </w:r>
          </w:p>
        </w:tc>
        <w:tc>
          <w:tcPr>
            <w:tcW w:type="dxa" w:w="2880"/>
            <w:vAlign w:val="top"/>
          </w:tcPr>
          <w:p>
            <w:pPr>
              <w:spacing w:after="0"/>
            </w:pPr>
            <w:r/>
            <w:r>
              <w:rPr>
                <w:rFonts w:ascii="Calibri" w:hAnsi="Calibri"/>
                <w:b w:val="0"/>
                <w:sz w:val="17"/>
              </w:rPr>
              <w:t>Large suite may feel heavy for teams that need capture-first billing; site emphasizes broad operations more than Gmail, meeting, call, and hearing-specific capture loops.</w:t>
            </w:r>
          </w:p>
        </w:tc>
      </w:tr>
      <w:tr>
        <w:tc>
          <w:tcPr>
            <w:tcW w:type="dxa" w:w="1728"/>
            <w:vAlign w:val="top"/>
          </w:tcPr>
          <w:p>
            <w:pPr>
              <w:spacing w:after="0"/>
            </w:pPr>
            <w:r/>
            <w:r>
              <w:rPr>
                <w:rFonts w:ascii="Calibri" w:hAnsi="Calibri"/>
                <w:b w:val="0"/>
                <w:sz w:val="17"/>
              </w:rPr>
              <w:t>Provakil</w:t>
            </w:r>
          </w:p>
        </w:tc>
        <w:tc>
          <w:tcPr>
            <w:tcW w:type="dxa" w:w="2088"/>
            <w:vAlign w:val="top"/>
          </w:tcPr>
          <w:p>
            <w:pPr>
              <w:spacing w:after="0"/>
            </w:pPr>
            <w:r/>
            <w:r>
              <w:rPr>
                <w:rFonts w:ascii="Calibri" w:hAnsi="Calibri"/>
                <w:b w:val="0"/>
                <w:sz w:val="17"/>
              </w:rPr>
              <w:t>Legal practice and litigation workspace with case updates, daily cause lists, tasks, collaboration, client management, and billing [S3].</w:t>
            </w:r>
          </w:p>
        </w:tc>
        <w:tc>
          <w:tcPr>
            <w:tcW w:type="dxa" w:w="2664"/>
            <w:vAlign w:val="top"/>
          </w:tcPr>
          <w:p>
            <w:pPr>
              <w:spacing w:after="0"/>
            </w:pPr>
            <w:r/>
            <w:r>
              <w:rPr>
                <w:rFonts w:ascii="Calibri" w:hAnsi="Calibri"/>
                <w:b w:val="0"/>
                <w:sz w:val="17"/>
              </w:rPr>
              <w:t>Strong Indian litigation and court-update orientation; good for legal departments and law firms needing case workflows.</w:t>
            </w:r>
          </w:p>
        </w:tc>
        <w:tc>
          <w:tcPr>
            <w:tcW w:type="dxa" w:w="2880"/>
            <w:vAlign w:val="top"/>
          </w:tcPr>
          <w:p>
            <w:pPr>
              <w:spacing w:after="0"/>
            </w:pPr>
            <w:r/>
            <w:r>
              <w:rPr>
                <w:rFonts w:ascii="Calibri" w:hAnsi="Calibri"/>
                <w:b w:val="0"/>
                <w:sz w:val="17"/>
              </w:rPr>
              <w:t>More matter/case management than effort-metering; opportunity remains to capture unrecorded email, research, meeting, and hearing effort as billing-ready evidence.</w:t>
            </w:r>
          </w:p>
        </w:tc>
      </w:tr>
      <w:tr>
        <w:tc>
          <w:tcPr>
            <w:tcW w:type="dxa" w:w="1728"/>
            <w:vAlign w:val="top"/>
          </w:tcPr>
          <w:p>
            <w:pPr>
              <w:spacing w:after="0"/>
            </w:pPr>
            <w:r/>
            <w:r>
              <w:rPr>
                <w:rFonts w:ascii="Calibri" w:hAnsi="Calibri"/>
                <w:b w:val="0"/>
                <w:sz w:val="17"/>
              </w:rPr>
              <w:t>eLawOffice</w:t>
            </w:r>
          </w:p>
        </w:tc>
        <w:tc>
          <w:tcPr>
            <w:tcW w:type="dxa" w:w="2088"/>
            <w:vAlign w:val="top"/>
          </w:tcPr>
          <w:p>
            <w:pPr>
              <w:spacing w:after="0"/>
            </w:pPr>
            <w:r/>
            <w:r>
              <w:rPr>
                <w:rFonts w:ascii="Calibri" w:hAnsi="Calibri"/>
                <w:b w:val="0"/>
                <w:sz w:val="17"/>
              </w:rPr>
              <w:t>India-first practice ERP covering cases, billing, hearings, HR, payroll, TDS, DPDP, encryption, Indian data residency, RBAC, and audit logs [S4].</w:t>
            </w:r>
          </w:p>
        </w:tc>
        <w:tc>
          <w:tcPr>
            <w:tcW w:type="dxa" w:w="2664"/>
            <w:vAlign w:val="top"/>
          </w:tcPr>
          <w:p>
            <w:pPr>
              <w:spacing w:after="0"/>
            </w:pPr>
            <w:r/>
            <w:r>
              <w:rPr>
                <w:rFonts w:ascii="Calibri" w:hAnsi="Calibri"/>
                <w:b w:val="0"/>
                <w:sz w:val="17"/>
              </w:rPr>
              <w:t>Local compliance story; broad back-office scope; good Indian-practice vocabulary.</w:t>
            </w:r>
          </w:p>
        </w:tc>
        <w:tc>
          <w:tcPr>
            <w:tcW w:type="dxa" w:w="2880"/>
            <w:vAlign w:val="top"/>
          </w:tcPr>
          <w:p>
            <w:pPr>
              <w:spacing w:after="0"/>
            </w:pPr>
            <w:r/>
            <w:r>
              <w:rPr>
                <w:rFonts w:ascii="Calibri" w:hAnsi="Calibri"/>
                <w:b w:val="0"/>
                <w:sz w:val="17"/>
              </w:rPr>
              <w:t>ERP breadth can be operationally complex; BillSync can differentiate as lightweight capture-to-cash layer that may later integrate with accounting/ERP.</w:t>
            </w:r>
          </w:p>
        </w:tc>
      </w:tr>
      <w:tr>
        <w:tc>
          <w:tcPr>
            <w:tcW w:type="dxa" w:w="1728"/>
            <w:vAlign w:val="top"/>
          </w:tcPr>
          <w:p>
            <w:pPr>
              <w:spacing w:after="0"/>
            </w:pPr>
            <w:r/>
            <w:r>
              <w:rPr>
                <w:rFonts w:ascii="Calibri" w:hAnsi="Calibri"/>
                <w:b w:val="0"/>
                <w:sz w:val="17"/>
              </w:rPr>
              <w:t>Qlerk</w:t>
            </w:r>
          </w:p>
        </w:tc>
        <w:tc>
          <w:tcPr>
            <w:tcW w:type="dxa" w:w="2088"/>
            <w:vAlign w:val="top"/>
          </w:tcPr>
          <w:p>
            <w:pPr>
              <w:spacing w:after="0"/>
            </w:pPr>
            <w:r/>
            <w:r>
              <w:rPr>
                <w:rFonts w:ascii="Calibri" w:hAnsi="Calibri"/>
                <w:b w:val="0"/>
                <w:sz w:val="17"/>
              </w:rPr>
              <w:t>Indian legal practice platform covering cases, clients, documents, billing, AI insights, hearings, deadlines, invoices, and payment tracking [S5].</w:t>
            </w:r>
          </w:p>
        </w:tc>
        <w:tc>
          <w:tcPr>
            <w:tcW w:type="dxa" w:w="2664"/>
            <w:vAlign w:val="top"/>
          </w:tcPr>
          <w:p>
            <w:pPr>
              <w:spacing w:after="0"/>
            </w:pPr>
            <w:r/>
            <w:r>
              <w:rPr>
                <w:rFonts w:ascii="Calibri" w:hAnsi="Calibri"/>
                <w:b w:val="0"/>
                <w:sz w:val="17"/>
              </w:rPr>
              <w:t>Modern India-specific solo/small-firm story; combines practice management and AI.</w:t>
            </w:r>
          </w:p>
        </w:tc>
        <w:tc>
          <w:tcPr>
            <w:tcW w:type="dxa" w:w="2880"/>
            <w:vAlign w:val="top"/>
          </w:tcPr>
          <w:p>
            <w:pPr>
              <w:spacing w:after="0"/>
            </w:pPr>
            <w:r/>
            <w:r>
              <w:rPr>
                <w:rFonts w:ascii="Calibri" w:hAnsi="Calibri"/>
                <w:b w:val="0"/>
                <w:sz w:val="17"/>
              </w:rPr>
              <w:t>May compete strongly on affordability and simplicity; BillSync must win on passive capture, effort proof, and revenue recovery.</w:t>
            </w:r>
          </w:p>
        </w:tc>
      </w:tr>
      <w:tr>
        <w:tc>
          <w:tcPr>
            <w:tcW w:type="dxa" w:w="1728"/>
            <w:vAlign w:val="top"/>
          </w:tcPr>
          <w:p>
            <w:pPr>
              <w:spacing w:after="0"/>
            </w:pPr>
            <w:r/>
            <w:r>
              <w:rPr>
                <w:rFonts w:ascii="Calibri" w:hAnsi="Calibri"/>
                <w:b w:val="0"/>
                <w:sz w:val="17"/>
              </w:rPr>
              <w:t>Bilr India</w:t>
            </w:r>
          </w:p>
        </w:tc>
        <w:tc>
          <w:tcPr>
            <w:tcW w:type="dxa" w:w="2088"/>
            <w:vAlign w:val="top"/>
          </w:tcPr>
          <w:p>
            <w:pPr>
              <w:spacing w:after="0"/>
            </w:pPr>
            <w:r/>
            <w:r>
              <w:rPr>
                <w:rFonts w:ascii="Calibri" w:hAnsi="Calibri"/>
                <w:b w:val="0"/>
                <w:sz w:val="17"/>
              </w:rPr>
              <w:t>AI-powered legal billing and time tracking for Indian legal professionals; supports LEDES, multi-currency, Tally, dashboards, timers, bulk entry, utilization, reminders [S6].</w:t>
            </w:r>
          </w:p>
        </w:tc>
        <w:tc>
          <w:tcPr>
            <w:tcW w:type="dxa" w:w="2664"/>
            <w:vAlign w:val="top"/>
          </w:tcPr>
          <w:p>
            <w:pPr>
              <w:spacing w:after="0"/>
            </w:pPr>
            <w:r/>
            <w:r>
              <w:rPr>
                <w:rFonts w:ascii="Calibri" w:hAnsi="Calibri"/>
                <w:b w:val="0"/>
                <w:sz w:val="17"/>
              </w:rPr>
              <w:t>Very close billing competitor; India billing localization; Tally/LEDES strengths.</w:t>
            </w:r>
          </w:p>
        </w:tc>
        <w:tc>
          <w:tcPr>
            <w:tcW w:type="dxa" w:w="2880"/>
            <w:vAlign w:val="top"/>
          </w:tcPr>
          <w:p>
            <w:pPr>
              <w:spacing w:after="0"/>
            </w:pPr>
            <w:r/>
            <w:r>
              <w:rPr>
                <w:rFonts w:ascii="Calibri" w:hAnsi="Calibri"/>
                <w:b w:val="0"/>
                <w:sz w:val="17"/>
              </w:rPr>
              <w:t>Still largely a billing/time-recording product; BillSync can go upstream into email, research, calls, meetings, court hearings, and approval evidence.</w:t>
            </w:r>
          </w:p>
        </w:tc>
      </w:tr>
      <w:tr>
        <w:tc>
          <w:tcPr>
            <w:tcW w:type="dxa" w:w="1728"/>
            <w:vAlign w:val="top"/>
          </w:tcPr>
          <w:p>
            <w:pPr>
              <w:spacing w:after="0"/>
            </w:pPr>
            <w:r/>
            <w:r>
              <w:rPr>
                <w:rFonts w:ascii="Calibri" w:hAnsi="Calibri"/>
                <w:b w:val="0"/>
                <w:sz w:val="17"/>
              </w:rPr>
              <w:t>Manupatra / MyKase</w:t>
            </w:r>
          </w:p>
        </w:tc>
        <w:tc>
          <w:tcPr>
            <w:tcW w:type="dxa" w:w="2088"/>
            <w:vAlign w:val="top"/>
          </w:tcPr>
          <w:p>
            <w:pPr>
              <w:spacing w:after="0"/>
            </w:pPr>
            <w:r/>
            <w:r>
              <w:rPr>
                <w:rFonts w:ascii="Calibri" w:hAnsi="Calibri"/>
                <w:b w:val="0"/>
                <w:sz w:val="17"/>
              </w:rPr>
              <w:t>Legal research suite plus case tracking, centralized case management, document/task management, billing, and client portal [S7].</w:t>
            </w:r>
          </w:p>
        </w:tc>
        <w:tc>
          <w:tcPr>
            <w:tcW w:type="dxa" w:w="2664"/>
            <w:vAlign w:val="top"/>
          </w:tcPr>
          <w:p>
            <w:pPr>
              <w:spacing w:after="0"/>
            </w:pPr>
            <w:r/>
            <w:r>
              <w:rPr>
                <w:rFonts w:ascii="Calibri" w:hAnsi="Calibri"/>
                <w:b w:val="0"/>
                <w:sz w:val="17"/>
              </w:rPr>
              <w:t>Trusted Indian legal-tech brand; research plus practice workflow; useful for research-heavy lawyers.</w:t>
            </w:r>
          </w:p>
        </w:tc>
        <w:tc>
          <w:tcPr>
            <w:tcW w:type="dxa" w:w="2880"/>
            <w:vAlign w:val="top"/>
          </w:tcPr>
          <w:p>
            <w:pPr>
              <w:spacing w:after="0"/>
            </w:pPr>
            <w:r/>
            <w:r>
              <w:rPr>
                <w:rFonts w:ascii="Calibri" w:hAnsi="Calibri"/>
                <w:b w:val="0"/>
                <w:sz w:val="17"/>
              </w:rPr>
              <w:t>Research strength does not automatically recover billable time across all effort surfaces; BillSync can integrate research capture and narrative generation.</w:t>
            </w:r>
          </w:p>
        </w:tc>
      </w:tr>
      <w:tr>
        <w:tc>
          <w:tcPr>
            <w:tcW w:type="dxa" w:w="1728"/>
            <w:vAlign w:val="top"/>
          </w:tcPr>
          <w:p>
            <w:pPr>
              <w:spacing w:after="0"/>
            </w:pPr>
            <w:r/>
            <w:r>
              <w:rPr>
                <w:rFonts w:ascii="Calibri" w:hAnsi="Calibri"/>
                <w:b w:val="0"/>
                <w:sz w:val="17"/>
              </w:rPr>
              <w:t>TimeSolv</w:t>
            </w:r>
          </w:p>
        </w:tc>
        <w:tc>
          <w:tcPr>
            <w:tcW w:type="dxa" w:w="2088"/>
            <w:vAlign w:val="top"/>
          </w:tcPr>
          <w:p>
            <w:pPr>
              <w:spacing w:after="0"/>
            </w:pPr>
            <w:r/>
            <w:r>
              <w:rPr>
                <w:rFonts w:ascii="Calibri" w:hAnsi="Calibri"/>
                <w:b w:val="0"/>
                <w:sz w:val="17"/>
              </w:rPr>
              <w:t>Legal time tracking and billing tool marketing automatic time tracking, invoicing, payments, reporting, and missed-time recovery [S8].</w:t>
            </w:r>
          </w:p>
        </w:tc>
        <w:tc>
          <w:tcPr>
            <w:tcW w:type="dxa" w:w="2664"/>
            <w:vAlign w:val="top"/>
          </w:tcPr>
          <w:p>
            <w:pPr>
              <w:spacing w:after="0"/>
            </w:pPr>
            <w:r/>
            <w:r>
              <w:rPr>
                <w:rFonts w:ascii="Calibri" w:hAnsi="Calibri"/>
                <w:b w:val="0"/>
                <w:sz w:val="17"/>
              </w:rPr>
              <w:t>Mature global billing product; strong usability and timekeeping narrative.</w:t>
            </w:r>
          </w:p>
        </w:tc>
        <w:tc>
          <w:tcPr>
            <w:tcW w:type="dxa" w:w="2880"/>
            <w:vAlign w:val="top"/>
          </w:tcPr>
          <w:p>
            <w:pPr>
              <w:spacing w:after="0"/>
            </w:pPr>
            <w:r/>
            <w:r>
              <w:rPr>
                <w:rFonts w:ascii="Calibri" w:hAnsi="Calibri"/>
                <w:b w:val="0"/>
                <w:sz w:val="17"/>
              </w:rPr>
              <w:t>Not India-specific; limited Indian court/hearing context; may not fit Indian billing, GST/TDS/Tally and court workflow needs out of the box.</w:t>
            </w:r>
          </w:p>
        </w:tc>
      </w:tr>
      <w:tr>
        <w:tc>
          <w:tcPr>
            <w:tcW w:type="dxa" w:w="1728"/>
            <w:vAlign w:val="top"/>
          </w:tcPr>
          <w:p>
            <w:pPr>
              <w:spacing w:after="0"/>
            </w:pPr>
            <w:r/>
            <w:r>
              <w:rPr>
                <w:rFonts w:ascii="Calibri" w:hAnsi="Calibri"/>
                <w:b w:val="0"/>
                <w:sz w:val="17"/>
              </w:rPr>
              <w:t>PracticePanther</w:t>
            </w:r>
          </w:p>
        </w:tc>
        <w:tc>
          <w:tcPr>
            <w:tcW w:type="dxa" w:w="2088"/>
            <w:vAlign w:val="top"/>
          </w:tcPr>
          <w:p>
            <w:pPr>
              <w:spacing w:after="0"/>
            </w:pPr>
            <w:r/>
            <w:r>
              <w:rPr>
                <w:rFonts w:ascii="Calibri" w:hAnsi="Calibri"/>
                <w:b w:val="0"/>
                <w:sz w:val="17"/>
              </w:rPr>
              <w:t>Legal billing and practice management with overlooked-billable-hour recovery through MoneyFinder [S9].</w:t>
            </w:r>
          </w:p>
        </w:tc>
        <w:tc>
          <w:tcPr>
            <w:tcW w:type="dxa" w:w="2664"/>
            <w:vAlign w:val="top"/>
          </w:tcPr>
          <w:p>
            <w:pPr>
              <w:spacing w:after="0"/>
            </w:pPr>
            <w:r/>
            <w:r>
              <w:rPr>
                <w:rFonts w:ascii="Calibri" w:hAnsi="Calibri"/>
                <w:b w:val="0"/>
                <w:sz w:val="17"/>
              </w:rPr>
              <w:t>Validates missed-time recovery as a buyer pain; mature billing surface.</w:t>
            </w:r>
          </w:p>
        </w:tc>
        <w:tc>
          <w:tcPr>
            <w:tcW w:type="dxa" w:w="2880"/>
            <w:vAlign w:val="top"/>
          </w:tcPr>
          <w:p>
            <w:pPr>
              <w:spacing w:after="0"/>
            </w:pPr>
            <w:r/>
            <w:r>
              <w:rPr>
                <w:rFonts w:ascii="Calibri" w:hAnsi="Calibri"/>
                <w:b w:val="0"/>
                <w:sz w:val="17"/>
              </w:rPr>
              <w:t>Global focus; less Indian localization and less bespoke capture from Gmail/research/court hearings.</w:t>
            </w:r>
          </w:p>
        </w:tc>
      </w:tr>
      <w:tr>
        <w:tc>
          <w:tcPr>
            <w:tcW w:type="dxa" w:w="1728"/>
            <w:vAlign w:val="top"/>
          </w:tcPr>
          <w:p>
            <w:pPr>
              <w:spacing w:after="0"/>
            </w:pPr>
            <w:r/>
            <w:r>
              <w:rPr>
                <w:rFonts w:ascii="Calibri" w:hAnsi="Calibri"/>
                <w:b w:val="0"/>
                <w:sz w:val="17"/>
              </w:rPr>
              <w:t>Hubstaff</w:t>
            </w:r>
          </w:p>
        </w:tc>
        <w:tc>
          <w:tcPr>
            <w:tcW w:type="dxa" w:w="2088"/>
            <w:vAlign w:val="top"/>
          </w:tcPr>
          <w:p>
            <w:pPr>
              <w:spacing w:after="0"/>
            </w:pPr>
            <w:r/>
            <w:r>
              <w:rPr>
                <w:rFonts w:ascii="Calibri" w:hAnsi="Calibri"/>
                <w:b w:val="0"/>
                <w:sz w:val="17"/>
              </w:rPr>
              <w:t>General employee time/productivity tracking with screenshots, apps, URLs, keyboard/mouse activity, idle time, and device-specific limitations [S12][S13].</w:t>
            </w:r>
          </w:p>
        </w:tc>
        <w:tc>
          <w:tcPr>
            <w:tcW w:type="dxa" w:w="2664"/>
            <w:vAlign w:val="top"/>
          </w:tcPr>
          <w:p>
            <w:pPr>
              <w:spacing w:after="0"/>
            </w:pPr>
            <w:r/>
            <w:r>
              <w:rPr>
                <w:rFonts w:ascii="Calibri" w:hAnsi="Calibri"/>
                <w:b w:val="0"/>
                <w:sz w:val="17"/>
              </w:rPr>
              <w:t>Proven model for activity evidence and payroll-style accountability.</w:t>
            </w:r>
          </w:p>
        </w:tc>
        <w:tc>
          <w:tcPr>
            <w:tcW w:type="dxa" w:w="2880"/>
            <w:vAlign w:val="top"/>
          </w:tcPr>
          <w:p>
            <w:pPr>
              <w:spacing w:after="0"/>
            </w:pPr>
            <w:r/>
            <w:r>
              <w:rPr>
                <w:rFonts w:ascii="Calibri" w:hAnsi="Calibri"/>
                <w:b w:val="0"/>
                <w:sz w:val="17"/>
              </w:rPr>
              <w:t>Surveillance risk in legal context; BillSync should borrow metering concepts while staying consent-first, matter-specific, and privacy-preserving.</w:t>
            </w:r>
          </w:p>
        </w:tc>
      </w:tr>
    </w:tbl>
    <w:p/>
    <w:p>
      <w:pPr>
        <w:pStyle w:val="Heading1"/>
      </w:pPr>
      <w:r>
        <w:t>Problem Analysis: Why Manual Billing Leaks Value</w:t>
      </w:r>
    </w:p>
    <w:p>
      <w:pPr>
        <w:spacing w:after="120"/>
      </w:pPr>
      <w:r>
        <w:t>Manual legal billing has a reconstruction problem. Lawyers often do real client work in fragments: three emails, one short call, a quick research check, a document note, a hearing wait, a client update, and an internal matter discussion. If those fragments are logged at the end of the day or week, they become rounded down, forgotten, merged into vague block entries, or deleted during partner review.</w:t>
      </w:r>
    </w:p>
    <w:p>
      <w:pPr>
        <w:spacing w:after="120"/>
      </w:pPr>
      <w:r>
        <w:t>Published timekeeping commentary consistently recommends contemporaneous capture. CosmoLex notes that end-of-day reconstruction makes small actions likely to be forgotten, shortened, or left off. ISBA frames time and billing systems as part of the firm's financial-control picture, while billing vendors market automatic tracking and missed-time recovery as core value [S8][S9][S10][S11].</w:t>
      </w:r>
    </w:p>
    <w:p>
      <w:pPr>
        <w:spacing w:after="120"/>
      </w:pPr>
      <w:r>
        <w:t>The 20-40 percent leakage hypothesis is credible for discovery because it combines three leakage buckets: work never entered, work entered with weaker duration/narrative, and work written down because the evidence is not defensible. BillSync should validate this by pilot telemetry: compare captured effort minutes, submitted minutes, approved minutes, invoiced minutes, and paid realization.</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fill="E8EEF5"/>
            <w:vAlign w:val="center"/>
          </w:tcPr>
          <w:p>
            <w:pPr>
              <w:spacing w:after="0"/>
            </w:pPr>
            <w:r/>
            <w:r>
              <w:rPr>
                <w:rFonts w:ascii="Calibri" w:hAnsi="Calibri"/>
                <w:b/>
                <w:color w:val="0B2545"/>
                <w:sz w:val="17"/>
              </w:rPr>
              <w:t>Leakage mode</w:t>
            </w:r>
          </w:p>
        </w:tc>
        <w:tc>
          <w:tcPr>
            <w:tcW w:type="dxa" w:w="3096"/>
            <w:shd w:fill="E8EEF5"/>
            <w:vAlign w:val="center"/>
          </w:tcPr>
          <w:p>
            <w:pPr>
              <w:spacing w:after="0"/>
            </w:pPr>
            <w:r/>
            <w:r>
              <w:rPr>
                <w:rFonts w:ascii="Calibri" w:hAnsi="Calibri"/>
                <w:b/>
                <w:color w:val="0B2545"/>
                <w:sz w:val="17"/>
              </w:rPr>
              <w:t>Example</w:t>
            </w:r>
          </w:p>
        </w:tc>
        <w:tc>
          <w:tcPr>
            <w:tcW w:type="dxa" w:w="3960"/>
            <w:shd w:fill="E8EEF5"/>
            <w:vAlign w:val="center"/>
          </w:tcPr>
          <w:p>
            <w:pPr>
              <w:spacing w:after="0"/>
            </w:pPr>
            <w:r/>
            <w:r>
              <w:rPr>
                <w:rFonts w:ascii="Calibri" w:hAnsi="Calibri"/>
                <w:b/>
                <w:color w:val="0B2545"/>
                <w:sz w:val="17"/>
              </w:rPr>
              <w:t>BillSync countermeasure</w:t>
            </w:r>
          </w:p>
        </w:tc>
      </w:tr>
      <w:tr>
        <w:tc>
          <w:tcPr>
            <w:tcW w:type="dxa" w:w="2016"/>
            <w:vAlign w:val="top"/>
          </w:tcPr>
          <w:p>
            <w:pPr>
              <w:spacing w:after="0"/>
            </w:pPr>
            <w:r/>
            <w:r>
              <w:rPr>
                <w:rFonts w:ascii="Calibri" w:hAnsi="Calibri"/>
                <w:b w:val="0"/>
                <w:sz w:val="17"/>
              </w:rPr>
              <w:t>Memory loss</w:t>
            </w:r>
          </w:p>
        </w:tc>
        <w:tc>
          <w:tcPr>
            <w:tcW w:type="dxa" w:w="3096"/>
            <w:vAlign w:val="top"/>
          </w:tcPr>
          <w:p>
            <w:pPr>
              <w:spacing w:after="0"/>
            </w:pPr>
            <w:r/>
            <w:r>
              <w:rPr>
                <w:rFonts w:ascii="Calibri" w:hAnsi="Calibri"/>
                <w:b w:val="0"/>
                <w:sz w:val="17"/>
              </w:rPr>
              <w:t>Lawyer forgets a 7-minute client email, 12-minute research check, or 5-minute call.</w:t>
            </w:r>
          </w:p>
        </w:tc>
        <w:tc>
          <w:tcPr>
            <w:tcW w:type="dxa" w:w="3960"/>
            <w:vAlign w:val="top"/>
          </w:tcPr>
          <w:p>
            <w:pPr>
              <w:spacing w:after="0"/>
            </w:pPr>
            <w:r/>
            <w:r>
              <w:rPr>
                <w:rFonts w:ascii="Calibri" w:hAnsi="Calibri"/>
                <w:b w:val="0"/>
                <w:sz w:val="17"/>
              </w:rPr>
              <w:t>Gmail/research/call capture creates a draft entry immediately.</w:t>
            </w:r>
          </w:p>
        </w:tc>
      </w:tr>
      <w:tr>
        <w:tc>
          <w:tcPr>
            <w:tcW w:type="dxa" w:w="2016"/>
            <w:vAlign w:val="top"/>
          </w:tcPr>
          <w:p>
            <w:pPr>
              <w:spacing w:after="0"/>
            </w:pPr>
            <w:r/>
            <w:r>
              <w:rPr>
                <w:rFonts w:ascii="Calibri" w:hAnsi="Calibri"/>
                <w:b w:val="0"/>
                <w:sz w:val="17"/>
              </w:rPr>
              <w:t>Narrative weakness</w:t>
            </w:r>
          </w:p>
        </w:tc>
        <w:tc>
          <w:tcPr>
            <w:tcW w:type="dxa" w:w="3096"/>
            <w:vAlign w:val="top"/>
          </w:tcPr>
          <w:p>
            <w:pPr>
              <w:spacing w:after="0"/>
            </w:pPr>
            <w:r/>
            <w:r>
              <w:rPr>
                <w:rFonts w:ascii="Calibri" w:hAnsi="Calibri"/>
                <w:b w:val="0"/>
                <w:sz w:val="17"/>
              </w:rPr>
              <w:t>Entry says 'work on case' and gets cut during review.</w:t>
            </w:r>
          </w:p>
        </w:tc>
        <w:tc>
          <w:tcPr>
            <w:tcW w:type="dxa" w:w="3960"/>
            <w:vAlign w:val="top"/>
          </w:tcPr>
          <w:p>
            <w:pPr>
              <w:spacing w:after="0"/>
            </w:pPr>
            <w:r/>
            <w:r>
              <w:rPr>
                <w:rFonts w:ascii="Calibri" w:hAnsi="Calibri"/>
                <w:b w:val="0"/>
                <w:sz w:val="17"/>
              </w:rPr>
              <w:t>AI-assisted narrative converts raw signals into client-defensible text.</w:t>
            </w:r>
          </w:p>
        </w:tc>
      </w:tr>
      <w:tr>
        <w:tc>
          <w:tcPr>
            <w:tcW w:type="dxa" w:w="2016"/>
            <w:vAlign w:val="top"/>
          </w:tcPr>
          <w:p>
            <w:pPr>
              <w:spacing w:after="0"/>
            </w:pPr>
            <w:r/>
            <w:r>
              <w:rPr>
                <w:rFonts w:ascii="Calibri" w:hAnsi="Calibri"/>
                <w:b w:val="0"/>
                <w:sz w:val="17"/>
              </w:rPr>
              <w:t>Context switching</w:t>
            </w:r>
          </w:p>
        </w:tc>
        <w:tc>
          <w:tcPr>
            <w:tcW w:type="dxa" w:w="3096"/>
            <w:vAlign w:val="top"/>
          </w:tcPr>
          <w:p>
            <w:pPr>
              <w:spacing w:after="0"/>
            </w:pPr>
            <w:r/>
            <w:r>
              <w:rPr>
                <w:rFonts w:ascii="Calibri" w:hAnsi="Calibri"/>
                <w:b w:val="0"/>
                <w:sz w:val="17"/>
              </w:rPr>
              <w:t>Work happens across Gmail, web, docs, calls, meetings, and court.</w:t>
            </w:r>
          </w:p>
        </w:tc>
        <w:tc>
          <w:tcPr>
            <w:tcW w:type="dxa" w:w="3960"/>
            <w:vAlign w:val="top"/>
          </w:tcPr>
          <w:p>
            <w:pPr>
              <w:spacing w:after="0"/>
            </w:pPr>
            <w:r/>
            <w:r>
              <w:rPr>
                <w:rFonts w:ascii="Calibri" w:hAnsi="Calibri"/>
                <w:b w:val="0"/>
                <w:sz w:val="17"/>
              </w:rPr>
              <w:t>Unified activity ledger groups work by client, matter, user, source, and evidence.</w:t>
            </w:r>
          </w:p>
        </w:tc>
      </w:tr>
      <w:tr>
        <w:tc>
          <w:tcPr>
            <w:tcW w:type="dxa" w:w="2016"/>
            <w:vAlign w:val="top"/>
          </w:tcPr>
          <w:p>
            <w:pPr>
              <w:spacing w:after="0"/>
            </w:pPr>
            <w:r/>
            <w:r>
              <w:rPr>
                <w:rFonts w:ascii="Calibri" w:hAnsi="Calibri"/>
                <w:b w:val="0"/>
                <w:sz w:val="17"/>
              </w:rPr>
              <w:t>Partner write-down</w:t>
            </w:r>
          </w:p>
        </w:tc>
        <w:tc>
          <w:tcPr>
            <w:tcW w:type="dxa" w:w="3096"/>
            <w:vAlign w:val="top"/>
          </w:tcPr>
          <w:p>
            <w:pPr>
              <w:spacing w:after="0"/>
            </w:pPr>
            <w:r/>
            <w:r>
              <w:rPr>
                <w:rFonts w:ascii="Calibri" w:hAnsi="Calibri"/>
                <w:b w:val="0"/>
                <w:sz w:val="17"/>
              </w:rPr>
              <w:t>Partner cannot verify whether the task was required or reasonable.</w:t>
            </w:r>
          </w:p>
        </w:tc>
        <w:tc>
          <w:tcPr>
            <w:tcW w:type="dxa" w:w="3960"/>
            <w:vAlign w:val="top"/>
          </w:tcPr>
          <w:p>
            <w:pPr>
              <w:spacing w:after="0"/>
            </w:pPr>
            <w:r/>
            <w:r>
              <w:rPr>
                <w:rFonts w:ascii="Calibri" w:hAnsi="Calibri"/>
                <w:b w:val="0"/>
                <w:sz w:val="17"/>
              </w:rPr>
              <w:t>Approval view shows source, duration, metadata, and editable narrative before billing.</w:t>
            </w:r>
          </w:p>
        </w:tc>
      </w:tr>
      <w:tr>
        <w:tc>
          <w:tcPr>
            <w:tcW w:type="dxa" w:w="2016"/>
            <w:vAlign w:val="top"/>
          </w:tcPr>
          <w:p>
            <w:pPr>
              <w:spacing w:after="0"/>
            </w:pPr>
            <w:r/>
            <w:r>
              <w:rPr>
                <w:rFonts w:ascii="Calibri" w:hAnsi="Calibri"/>
                <w:b w:val="0"/>
                <w:sz w:val="17"/>
              </w:rPr>
              <w:t>Admin delay</w:t>
            </w:r>
          </w:p>
        </w:tc>
        <w:tc>
          <w:tcPr>
            <w:tcW w:type="dxa" w:w="3096"/>
            <w:vAlign w:val="top"/>
          </w:tcPr>
          <w:p>
            <w:pPr>
              <w:spacing w:after="0"/>
            </w:pPr>
            <w:r/>
            <w:r>
              <w:rPr>
                <w:rFonts w:ascii="Calibri" w:hAnsi="Calibri"/>
                <w:b w:val="0"/>
                <w:sz w:val="17"/>
              </w:rPr>
              <w:t>Invoices wait because billables are scattered across sheets and memories.</w:t>
            </w:r>
          </w:p>
        </w:tc>
        <w:tc>
          <w:tcPr>
            <w:tcW w:type="dxa" w:w="3960"/>
            <w:vAlign w:val="top"/>
          </w:tcPr>
          <w:p>
            <w:pPr>
              <w:spacing w:after="0"/>
            </w:pPr>
            <w:r/>
            <w:r>
              <w:rPr>
                <w:rFonts w:ascii="Calibri" w:hAnsi="Calibri"/>
                <w:b w:val="0"/>
                <w:sz w:val="17"/>
              </w:rPr>
              <w:t>Approved entries flow into billables and draft invoices.</w:t>
            </w:r>
          </w:p>
        </w:tc>
      </w:tr>
    </w:tbl>
    <w:p/>
    <w:p>
      <w:pPr>
        <w:pStyle w:val="Heading1"/>
      </w:pPr>
      <w:r>
        <w:t>Proposed BillSync Product: Capture Surfaces</w:t>
      </w:r>
    </w:p>
    <w:p>
      <w:pPr>
        <w:spacing w:after="120"/>
      </w:pPr>
      <w:r>
        <w:t>The product should be a layered capture system. Each layer should create a draft activity, not an automatic bill. This distinction matters: the product appreciates lawyer effort without blindly invoicing clients.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00"/>
            <w:shd w:fill="E8EEF5"/>
            <w:vAlign w:val="center"/>
          </w:tcPr>
          <w:p>
            <w:pPr>
              <w:spacing w:after="0"/>
            </w:pPr>
            <w:r/>
            <w:r>
              <w:rPr>
                <w:rFonts w:ascii="Calibri" w:hAnsi="Calibri"/>
                <w:b/>
                <w:color w:val="0B2545"/>
                <w:sz w:val="17"/>
              </w:rPr>
              <w:t>Surface</w:t>
            </w:r>
          </w:p>
        </w:tc>
        <w:tc>
          <w:tcPr>
            <w:tcW w:type="dxa" w:w="2664"/>
            <w:shd w:fill="E8EEF5"/>
            <w:vAlign w:val="center"/>
          </w:tcPr>
          <w:p>
            <w:pPr>
              <w:spacing w:after="0"/>
            </w:pPr>
            <w:r/>
            <w:r>
              <w:rPr>
                <w:rFonts w:ascii="Calibri" w:hAnsi="Calibri"/>
                <w:b/>
                <w:color w:val="0B2545"/>
                <w:sz w:val="17"/>
              </w:rPr>
              <w:t>MVP behavior</w:t>
            </w:r>
          </w:p>
        </w:tc>
        <w:tc>
          <w:tcPr>
            <w:tcW w:type="dxa" w:w="2520"/>
            <w:shd w:fill="E8EEF5"/>
            <w:vAlign w:val="center"/>
          </w:tcPr>
          <w:p>
            <w:pPr>
              <w:spacing w:after="0"/>
            </w:pPr>
            <w:r/>
            <w:r>
              <w:rPr>
                <w:rFonts w:ascii="Calibri" w:hAnsi="Calibri"/>
                <w:b/>
                <w:color w:val="0B2545"/>
                <w:sz w:val="17"/>
              </w:rPr>
              <w:t>Evidence captured</w:t>
            </w:r>
          </w:p>
        </w:tc>
        <w:tc>
          <w:tcPr>
            <w:tcW w:type="dxa" w:w="2232"/>
            <w:shd w:fill="E8EEF5"/>
            <w:vAlign w:val="center"/>
          </w:tcPr>
          <w:p>
            <w:pPr>
              <w:spacing w:after="0"/>
            </w:pPr>
            <w:r/>
            <w:r>
              <w:rPr>
                <w:rFonts w:ascii="Calibri" w:hAnsi="Calibri"/>
                <w:b/>
                <w:color w:val="0B2545"/>
                <w:sz w:val="17"/>
              </w:rPr>
              <w:t>Privacy/product guardrail</w:t>
            </w:r>
          </w:p>
        </w:tc>
      </w:tr>
      <w:tr>
        <w:tc>
          <w:tcPr>
            <w:tcW w:type="dxa" w:w="1800"/>
            <w:vAlign w:val="top"/>
          </w:tcPr>
          <w:p>
            <w:pPr>
              <w:spacing w:after="0"/>
            </w:pPr>
            <w:r/>
            <w:r>
              <w:rPr>
                <w:rFonts w:ascii="Calibri" w:hAnsi="Calibri"/>
                <w:b w:val="0"/>
                <w:sz w:val="17"/>
              </w:rPr>
              <w:t>Gmail extension</w:t>
            </w:r>
          </w:p>
        </w:tc>
        <w:tc>
          <w:tcPr>
            <w:tcW w:type="dxa" w:w="2664"/>
            <w:vAlign w:val="top"/>
          </w:tcPr>
          <w:p>
            <w:pPr>
              <w:spacing w:after="0"/>
            </w:pPr>
            <w:r/>
            <w:r>
              <w:rPr>
                <w:rFonts w:ascii="Calibri" w:hAnsi="Calibri"/>
                <w:b w:val="0"/>
                <w:sz w:val="17"/>
              </w:rPr>
              <w:t>Track active compose/reply time and send metadata after send confirmation.</w:t>
            </w:r>
          </w:p>
        </w:tc>
        <w:tc>
          <w:tcPr>
            <w:tcW w:type="dxa" w:w="2520"/>
            <w:vAlign w:val="top"/>
          </w:tcPr>
          <w:p>
            <w:pPr>
              <w:spacing w:after="0"/>
            </w:pPr>
            <w:r/>
            <w:r>
              <w:rPr>
                <w:rFonts w:ascii="Calibri" w:hAnsi="Calibri"/>
                <w:b w:val="0"/>
                <w:sz w:val="17"/>
              </w:rPr>
              <w:t>Recipient, subject, thread/source id, typing duration, timestamps, mapped client/matter.</w:t>
            </w:r>
          </w:p>
        </w:tc>
        <w:tc>
          <w:tcPr>
            <w:tcW w:type="dxa" w:w="2232"/>
            <w:vAlign w:val="top"/>
          </w:tcPr>
          <w:p>
            <w:pPr>
              <w:spacing w:after="0"/>
            </w:pPr>
            <w:r/>
            <w:r>
              <w:rPr>
                <w:rFonts w:ascii="Calibri" w:hAnsi="Calibri"/>
                <w:b w:val="0"/>
                <w:sz w:val="17"/>
              </w:rPr>
              <w:t>Do not transmit body by default; make AI narrative opt-in.</w:t>
            </w:r>
          </w:p>
        </w:tc>
      </w:tr>
      <w:tr>
        <w:tc>
          <w:tcPr>
            <w:tcW w:type="dxa" w:w="1800"/>
            <w:vAlign w:val="top"/>
          </w:tcPr>
          <w:p>
            <w:pPr>
              <w:spacing w:after="0"/>
            </w:pPr>
            <w:r/>
            <w:r>
              <w:rPr>
                <w:rFonts w:ascii="Calibri" w:hAnsi="Calibri"/>
                <w:b w:val="0"/>
                <w:sz w:val="17"/>
              </w:rPr>
              <w:t>Browser research</w:t>
            </w:r>
          </w:p>
        </w:tc>
        <w:tc>
          <w:tcPr>
            <w:tcW w:type="dxa" w:w="2664"/>
            <w:vAlign w:val="top"/>
          </w:tcPr>
          <w:p>
            <w:pPr>
              <w:spacing w:after="0"/>
            </w:pPr>
            <w:r/>
            <w:r>
              <w:rPr>
                <w:rFonts w:ascii="Calibri" w:hAnsi="Calibri"/>
                <w:b w:val="0"/>
                <w:sz w:val="17"/>
              </w:rPr>
              <w:t>User starts or confirms research capture from extension; system proposes matter based on domain, title, selected text, and history.</w:t>
            </w:r>
          </w:p>
        </w:tc>
        <w:tc>
          <w:tcPr>
            <w:tcW w:type="dxa" w:w="2520"/>
            <w:vAlign w:val="top"/>
          </w:tcPr>
          <w:p>
            <w:pPr>
              <w:spacing w:after="0"/>
            </w:pPr>
            <w:r/>
            <w:r>
              <w:rPr>
                <w:rFonts w:ascii="Calibri" w:hAnsi="Calibri"/>
                <w:b w:val="0"/>
                <w:sz w:val="17"/>
              </w:rPr>
              <w:t>URL, domain, title, selected notes when submitted, elapsed minutes.</w:t>
            </w:r>
          </w:p>
        </w:tc>
        <w:tc>
          <w:tcPr>
            <w:tcW w:type="dxa" w:w="2232"/>
            <w:vAlign w:val="top"/>
          </w:tcPr>
          <w:p>
            <w:pPr>
              <w:spacing w:after="0"/>
            </w:pPr>
            <w:r/>
            <w:r>
              <w:rPr>
                <w:rFonts w:ascii="Calibri" w:hAnsi="Calibri"/>
                <w:b w:val="0"/>
                <w:sz w:val="17"/>
              </w:rPr>
              <w:t>Clear disclosure when selected text is stored; redact sensitive snippets when needed.</w:t>
            </w:r>
          </w:p>
        </w:tc>
      </w:tr>
      <w:tr>
        <w:tc>
          <w:tcPr>
            <w:tcW w:type="dxa" w:w="1800"/>
            <w:vAlign w:val="top"/>
          </w:tcPr>
          <w:p>
            <w:pPr>
              <w:spacing w:after="0"/>
            </w:pPr>
            <w:r/>
            <w:r>
              <w:rPr>
                <w:rFonts w:ascii="Calibri" w:hAnsi="Calibri"/>
                <w:b w:val="0"/>
                <w:sz w:val="17"/>
              </w:rPr>
              <w:t>Hubstaff-style legal meter</w:t>
            </w:r>
          </w:p>
        </w:tc>
        <w:tc>
          <w:tcPr>
            <w:tcW w:type="dxa" w:w="2664"/>
            <w:vAlign w:val="top"/>
          </w:tcPr>
          <w:p>
            <w:pPr>
              <w:spacing w:after="0"/>
            </w:pPr>
            <w:r/>
            <w:r>
              <w:rPr>
                <w:rFonts w:ascii="Calibri" w:hAnsi="Calibri"/>
                <w:b w:val="0"/>
                <w:sz w:val="17"/>
              </w:rPr>
              <w:t>Desktop/web meter records matter-linked effort across documents, drafting, review, admin, and nonbillable work.</w:t>
            </w:r>
          </w:p>
        </w:tc>
        <w:tc>
          <w:tcPr>
            <w:tcW w:type="dxa" w:w="2520"/>
            <w:vAlign w:val="top"/>
          </w:tcPr>
          <w:p>
            <w:pPr>
              <w:spacing w:after="0"/>
            </w:pPr>
            <w:r/>
            <w:r>
              <w:rPr>
                <w:rFonts w:ascii="Calibri" w:hAnsi="Calibri"/>
                <w:b w:val="0"/>
                <w:sz w:val="17"/>
              </w:rPr>
              <w:t>Start/stop, idle, app/site category, optional screenshots disabled by default.</w:t>
            </w:r>
          </w:p>
        </w:tc>
        <w:tc>
          <w:tcPr>
            <w:tcW w:type="dxa" w:w="2232"/>
            <w:vAlign w:val="top"/>
          </w:tcPr>
          <w:p>
            <w:pPr>
              <w:spacing w:after="0"/>
            </w:pPr>
            <w:r/>
            <w:r>
              <w:rPr>
                <w:rFonts w:ascii="Calibri" w:hAnsi="Calibri"/>
                <w:b w:val="0"/>
                <w:sz w:val="17"/>
              </w:rPr>
              <w:t>No hidden surveillance; user-visible timer and matter context required.</w:t>
            </w:r>
          </w:p>
        </w:tc>
      </w:tr>
      <w:tr>
        <w:tc>
          <w:tcPr>
            <w:tcW w:type="dxa" w:w="1800"/>
            <w:vAlign w:val="top"/>
          </w:tcPr>
          <w:p>
            <w:pPr>
              <w:spacing w:after="0"/>
            </w:pPr>
            <w:r/>
            <w:r>
              <w:rPr>
                <w:rFonts w:ascii="Calibri" w:hAnsi="Calibri"/>
                <w:b w:val="0"/>
                <w:sz w:val="17"/>
              </w:rPr>
              <w:t>Meeting/call recorder</w:t>
            </w:r>
          </w:p>
        </w:tc>
        <w:tc>
          <w:tcPr>
            <w:tcW w:type="dxa" w:w="2664"/>
            <w:vAlign w:val="top"/>
          </w:tcPr>
          <w:p>
            <w:pPr>
              <w:spacing w:after="0"/>
            </w:pPr>
            <w:r/>
            <w:r>
              <w:rPr>
                <w:rFonts w:ascii="Calibri" w:hAnsi="Calibri"/>
                <w:b w:val="0"/>
                <w:sz w:val="17"/>
              </w:rPr>
              <w:t>Record online meetings/calls only with consent, create transcript summary, extract attendees and action items.</w:t>
            </w:r>
          </w:p>
        </w:tc>
        <w:tc>
          <w:tcPr>
            <w:tcW w:type="dxa" w:w="2520"/>
            <w:vAlign w:val="top"/>
          </w:tcPr>
          <w:p>
            <w:pPr>
              <w:spacing w:after="0"/>
            </w:pPr>
            <w:r/>
            <w:r>
              <w:rPr>
                <w:rFonts w:ascii="Calibri" w:hAnsi="Calibri"/>
                <w:b w:val="0"/>
                <w:sz w:val="17"/>
              </w:rPr>
              <w:t>Meeting platform, participants, duration, transcript summary, recording link if allowed.</w:t>
            </w:r>
          </w:p>
        </w:tc>
        <w:tc>
          <w:tcPr>
            <w:tcW w:type="dxa" w:w="2232"/>
            <w:vAlign w:val="top"/>
          </w:tcPr>
          <w:p>
            <w:pPr>
              <w:spacing w:after="0"/>
            </w:pPr>
            <w:r/>
            <w:r>
              <w:rPr>
                <w:rFonts w:ascii="Calibri" w:hAnsi="Calibri"/>
                <w:b w:val="0"/>
                <w:sz w:val="17"/>
              </w:rPr>
              <w:t>Consent, retention, access control, and redaction are mandatory.</w:t>
            </w:r>
          </w:p>
        </w:tc>
      </w:tr>
      <w:tr>
        <w:tc>
          <w:tcPr>
            <w:tcW w:type="dxa" w:w="1800"/>
            <w:vAlign w:val="top"/>
          </w:tcPr>
          <w:p>
            <w:pPr>
              <w:spacing w:after="0"/>
            </w:pPr>
            <w:r/>
            <w:r>
              <w:rPr>
                <w:rFonts w:ascii="Calibri" w:hAnsi="Calibri"/>
                <w:b w:val="0"/>
                <w:sz w:val="17"/>
              </w:rPr>
              <w:t>Court hearing self-meter</w:t>
            </w:r>
          </w:p>
        </w:tc>
        <w:tc>
          <w:tcPr>
            <w:tcW w:type="dxa" w:w="2664"/>
            <w:vAlign w:val="top"/>
          </w:tcPr>
          <w:p>
            <w:pPr>
              <w:spacing w:after="0"/>
            </w:pPr>
            <w:r/>
            <w:r>
              <w:rPr>
                <w:rFonts w:ascii="Calibri" w:hAnsi="Calibri"/>
                <w:b w:val="0"/>
                <w:sz w:val="17"/>
              </w:rPr>
              <w:t>Lawyer starts court-hearing mode and records waiting, mention, argument, travel/admin, and outcome notes.</w:t>
            </w:r>
          </w:p>
        </w:tc>
        <w:tc>
          <w:tcPr>
            <w:tcW w:type="dxa" w:w="2520"/>
            <w:vAlign w:val="top"/>
          </w:tcPr>
          <w:p>
            <w:pPr>
              <w:spacing w:after="0"/>
            </w:pPr>
            <w:r/>
            <w:r>
              <w:rPr>
                <w:rFonts w:ascii="Calibri" w:hAnsi="Calibri"/>
                <w:b w:val="0"/>
                <w:sz w:val="17"/>
              </w:rPr>
              <w:t>Court, matter, hearing date, phase duration, outcome note, next date.</w:t>
            </w:r>
          </w:p>
        </w:tc>
        <w:tc>
          <w:tcPr>
            <w:tcW w:type="dxa" w:w="2232"/>
            <w:vAlign w:val="top"/>
          </w:tcPr>
          <w:p>
            <w:pPr>
              <w:spacing w:after="0"/>
            </w:pPr>
            <w:r/>
            <w:r>
              <w:rPr>
                <w:rFonts w:ascii="Calibri" w:hAnsi="Calibri"/>
                <w:b w:val="0"/>
                <w:sz w:val="17"/>
              </w:rPr>
              <w:t>Self-attested by lawyer; do not imply official court feed unless integrated later.</w:t>
            </w:r>
          </w:p>
        </w:tc>
      </w:tr>
      <w:tr>
        <w:tc>
          <w:tcPr>
            <w:tcW w:type="dxa" w:w="1800"/>
            <w:vAlign w:val="top"/>
          </w:tcPr>
          <w:p>
            <w:pPr>
              <w:spacing w:after="0"/>
            </w:pPr>
            <w:r/>
            <w:r>
              <w:rPr>
                <w:rFonts w:ascii="Calibri" w:hAnsi="Calibri"/>
                <w:b w:val="0"/>
                <w:sz w:val="17"/>
              </w:rPr>
              <w:t>Manual correction</w:t>
            </w:r>
          </w:p>
        </w:tc>
        <w:tc>
          <w:tcPr>
            <w:tcW w:type="dxa" w:w="2664"/>
            <w:vAlign w:val="top"/>
          </w:tcPr>
          <w:p>
            <w:pPr>
              <w:spacing w:after="0"/>
            </w:pPr>
            <w:r/>
            <w:r>
              <w:rPr>
                <w:rFonts w:ascii="Calibri" w:hAnsi="Calibri"/>
                <w:b w:val="0"/>
                <w:sz w:val="17"/>
              </w:rPr>
              <w:t>Every captured draft can be edited, split, merged, marked nonbillable, or discarded.</w:t>
            </w:r>
          </w:p>
        </w:tc>
        <w:tc>
          <w:tcPr>
            <w:tcW w:type="dxa" w:w="2520"/>
            <w:vAlign w:val="top"/>
          </w:tcPr>
          <w:p>
            <w:pPr>
              <w:spacing w:after="0"/>
            </w:pPr>
            <w:r/>
            <w:r>
              <w:rPr>
                <w:rFonts w:ascii="Calibri" w:hAnsi="Calibri"/>
                <w:b w:val="0"/>
                <w:sz w:val="17"/>
              </w:rPr>
              <w:t>Reviewer reason, audit trail, final billed amount.</w:t>
            </w:r>
          </w:p>
        </w:tc>
        <w:tc>
          <w:tcPr>
            <w:tcW w:type="dxa" w:w="2232"/>
            <w:vAlign w:val="top"/>
          </w:tcPr>
          <w:p>
            <w:pPr>
              <w:spacing w:after="0"/>
            </w:pPr>
            <w:r/>
            <w:r>
              <w:rPr>
                <w:rFonts w:ascii="Calibri" w:hAnsi="Calibri"/>
                <w:b w:val="0"/>
                <w:sz w:val="17"/>
              </w:rPr>
              <w:t>Human approval remains the billing control.</w:t>
            </w:r>
          </w:p>
        </w:tc>
      </w:tr>
    </w:tbl>
    <w:p/>
    <w:p>
      <w:pPr>
        <w:pStyle w:val="Heading1"/>
      </w:pPr>
      <w:r>
        <w:t>How BillSync Solves the Gap</w:t>
      </w:r>
    </w:p>
    <w:p>
      <w:pPr>
        <w:pStyle w:val="ListBullet"/>
      </w:pPr>
      <w:r>
        <w:t>Capture at source: work is recorded when it happens in Gmail, browser research, documents, meetings, calls, and hearings.</w:t>
      </w:r>
    </w:p>
    <w:p>
      <w:pPr>
        <w:pStyle w:val="ListBullet"/>
      </w:pPr>
      <w:r>
        <w:t>Convert effort into billing language: AI drafts narratives using matter, activity, client, source, and duration context.</w:t>
      </w:r>
    </w:p>
    <w:p>
      <w:pPr>
        <w:pStyle w:val="ListBullet"/>
      </w:pPr>
      <w:r>
        <w:t>Preserve lawyer dignity: meters are user-visible, matter-driven, editable, and approval-based, not covert surveillance.</w:t>
      </w:r>
    </w:p>
    <w:p>
      <w:pPr>
        <w:pStyle w:val="ListBullet"/>
      </w:pPr>
      <w:r>
        <w:t>Make partner review easier: reviewers see source evidence and can approve, reject, write down, or request clarification.</w:t>
      </w:r>
    </w:p>
    <w:p>
      <w:pPr>
        <w:pStyle w:val="ListBullet"/>
      </w:pPr>
      <w:r>
        <w:t>Protect clients: final invoices include clean narratives and approved amounts, not raw telemetry.</w:t>
      </w:r>
    </w:p>
    <w:p>
      <w:pPr>
        <w:pStyle w:val="ListBullet"/>
      </w:pPr>
      <w:r>
        <w:t>Create firm intelligence: dashboards show leakage, utilization, WIP, AR, realization, unbilled work, capture success, and write-down reasons.</w:t>
      </w:r>
    </w:p>
    <w:p>
      <w:pPr>
        <w:pStyle w:val="Heading1"/>
      </w:pPr>
      <w:r>
        <w:t>Product Differentiation</w:t>
      </w:r>
    </w:p>
    <w:tbl>
      <w:tblPr>
        <w:tblStyle w:val="TableGrid"/>
        <w:tblW w:type="auto" w:w="0"/>
        <w:jc w:val="center"/>
        <w:tblLook w:firstColumn="1" w:firstRow="1" w:lastColumn="0" w:lastRow="0" w:noHBand="0" w:noVBand="1" w:val="04A0"/>
      </w:tblPr>
      <w:tblGrid>
        <w:gridCol w:w="3120"/>
        <w:gridCol w:w="3120"/>
        <w:gridCol w:w="3120"/>
      </w:tblGrid>
      <w:tr>
        <w:tc>
          <w:tcPr>
            <w:tcW w:type="dxa" w:w="1944"/>
            <w:shd w:fill="E8EEF5"/>
            <w:vAlign w:val="center"/>
          </w:tcPr>
          <w:p>
            <w:pPr>
              <w:spacing w:after="0"/>
            </w:pPr>
            <w:r/>
            <w:r>
              <w:rPr>
                <w:rFonts w:ascii="Calibri" w:hAnsi="Calibri"/>
                <w:b/>
                <w:color w:val="0B2545"/>
                <w:sz w:val="17"/>
              </w:rPr>
              <w:t>Dimension</w:t>
            </w:r>
          </w:p>
        </w:tc>
        <w:tc>
          <w:tcPr>
            <w:tcW w:type="dxa" w:w="3384"/>
            <w:shd w:fill="E8EEF5"/>
            <w:vAlign w:val="center"/>
          </w:tcPr>
          <w:p>
            <w:pPr>
              <w:spacing w:after="0"/>
            </w:pPr>
            <w:r/>
            <w:r>
              <w:rPr>
                <w:rFonts w:ascii="Calibri" w:hAnsi="Calibri"/>
                <w:b/>
                <w:color w:val="0B2545"/>
                <w:sz w:val="17"/>
              </w:rPr>
              <w:t>Traditional ERP / billing tool</w:t>
            </w:r>
          </w:p>
        </w:tc>
        <w:tc>
          <w:tcPr>
            <w:tcW w:type="dxa" w:w="3528"/>
            <w:shd w:fill="E8EEF5"/>
            <w:vAlign w:val="center"/>
          </w:tcPr>
          <w:p>
            <w:pPr>
              <w:spacing w:after="0"/>
            </w:pPr>
            <w:r/>
            <w:r>
              <w:rPr>
                <w:rFonts w:ascii="Calibri" w:hAnsi="Calibri"/>
                <w:b/>
                <w:color w:val="0B2545"/>
                <w:sz w:val="17"/>
              </w:rPr>
              <w:t>BillSync target behavior</w:t>
            </w:r>
          </w:p>
        </w:tc>
      </w:tr>
      <w:tr>
        <w:tc>
          <w:tcPr>
            <w:tcW w:type="dxa" w:w="1944"/>
            <w:vAlign w:val="top"/>
          </w:tcPr>
          <w:p>
            <w:pPr>
              <w:spacing w:after="0"/>
            </w:pPr>
            <w:r/>
            <w:r>
              <w:rPr>
                <w:rFonts w:ascii="Calibri" w:hAnsi="Calibri"/>
                <w:b w:val="0"/>
                <w:sz w:val="17"/>
              </w:rPr>
              <w:t>Time entry posture</w:t>
            </w:r>
          </w:p>
        </w:tc>
        <w:tc>
          <w:tcPr>
            <w:tcW w:type="dxa" w:w="3384"/>
            <w:vAlign w:val="top"/>
          </w:tcPr>
          <w:p>
            <w:pPr>
              <w:spacing w:after="0"/>
            </w:pPr>
            <w:r/>
            <w:r>
              <w:rPr>
                <w:rFonts w:ascii="Calibri" w:hAnsi="Calibri"/>
                <w:b w:val="0"/>
                <w:sz w:val="17"/>
              </w:rPr>
              <w:t>User enters time after deciding what to bill.</w:t>
            </w:r>
          </w:p>
        </w:tc>
        <w:tc>
          <w:tcPr>
            <w:tcW w:type="dxa" w:w="3528"/>
            <w:vAlign w:val="top"/>
          </w:tcPr>
          <w:p>
            <w:pPr>
              <w:spacing w:after="0"/>
            </w:pPr>
            <w:r/>
            <w:r>
              <w:rPr>
                <w:rFonts w:ascii="Calibri" w:hAnsi="Calibri"/>
                <w:b w:val="0"/>
                <w:sz w:val="17"/>
              </w:rPr>
              <w:t>System detects effort and creates draft billing-ready candidates.</w:t>
            </w:r>
          </w:p>
        </w:tc>
      </w:tr>
      <w:tr>
        <w:tc>
          <w:tcPr>
            <w:tcW w:type="dxa" w:w="1944"/>
            <w:vAlign w:val="top"/>
          </w:tcPr>
          <w:p>
            <w:pPr>
              <w:spacing w:after="0"/>
            </w:pPr>
            <w:r/>
            <w:r>
              <w:rPr>
                <w:rFonts w:ascii="Calibri" w:hAnsi="Calibri"/>
                <w:b w:val="0"/>
                <w:sz w:val="17"/>
              </w:rPr>
              <w:t>Capture coverage</w:t>
            </w:r>
          </w:p>
        </w:tc>
        <w:tc>
          <w:tcPr>
            <w:tcW w:type="dxa" w:w="3384"/>
            <w:vAlign w:val="top"/>
          </w:tcPr>
          <w:p>
            <w:pPr>
              <w:spacing w:after="0"/>
            </w:pPr>
            <w:r/>
            <w:r>
              <w:rPr>
                <w:rFonts w:ascii="Calibri" w:hAnsi="Calibri"/>
                <w:b w:val="0"/>
                <w:sz w:val="17"/>
              </w:rPr>
              <w:t>Usually timer, timesheet, matter, invoice.</w:t>
            </w:r>
          </w:p>
        </w:tc>
        <w:tc>
          <w:tcPr>
            <w:tcW w:type="dxa" w:w="3528"/>
            <w:vAlign w:val="top"/>
          </w:tcPr>
          <w:p>
            <w:pPr>
              <w:spacing w:after="0"/>
            </w:pPr>
            <w:r/>
            <w:r>
              <w:rPr>
                <w:rFonts w:ascii="Calibri" w:hAnsi="Calibri"/>
                <w:b w:val="0"/>
                <w:sz w:val="17"/>
              </w:rPr>
              <w:t>Gmail, research, meter, meetings, calls, court hearings, manual entries.</w:t>
            </w:r>
          </w:p>
        </w:tc>
      </w:tr>
      <w:tr>
        <w:tc>
          <w:tcPr>
            <w:tcW w:type="dxa" w:w="1944"/>
            <w:vAlign w:val="top"/>
          </w:tcPr>
          <w:p>
            <w:pPr>
              <w:spacing w:after="0"/>
            </w:pPr>
            <w:r/>
            <w:r>
              <w:rPr>
                <w:rFonts w:ascii="Calibri" w:hAnsi="Calibri"/>
                <w:b w:val="0"/>
                <w:sz w:val="17"/>
              </w:rPr>
              <w:t>Indian practice fit</w:t>
            </w:r>
          </w:p>
        </w:tc>
        <w:tc>
          <w:tcPr>
            <w:tcW w:type="dxa" w:w="3384"/>
            <w:vAlign w:val="top"/>
          </w:tcPr>
          <w:p>
            <w:pPr>
              <w:spacing w:after="0"/>
            </w:pPr>
            <w:r/>
            <w:r>
              <w:rPr>
                <w:rFonts w:ascii="Calibri" w:hAnsi="Calibri"/>
                <w:b w:val="0"/>
                <w:sz w:val="17"/>
              </w:rPr>
              <w:t>Varies: some strong in court/hearing, some strong in billing.</w:t>
            </w:r>
          </w:p>
        </w:tc>
        <w:tc>
          <w:tcPr>
            <w:tcW w:type="dxa" w:w="3528"/>
            <w:vAlign w:val="top"/>
          </w:tcPr>
          <w:p>
            <w:pPr>
              <w:spacing w:after="0"/>
            </w:pPr>
            <w:r/>
            <w:r>
              <w:rPr>
                <w:rFonts w:ascii="Calibri" w:hAnsi="Calibri"/>
                <w:b w:val="0"/>
                <w:sz w:val="17"/>
              </w:rPr>
              <w:t>Matter-led, Indian billing localization, court-hearing workflow, later GST/TDS/Tally/Zoho.</w:t>
            </w:r>
          </w:p>
        </w:tc>
      </w:tr>
      <w:tr>
        <w:tc>
          <w:tcPr>
            <w:tcW w:type="dxa" w:w="1944"/>
            <w:vAlign w:val="top"/>
          </w:tcPr>
          <w:p>
            <w:pPr>
              <w:spacing w:after="0"/>
            </w:pPr>
            <w:r/>
            <w:r>
              <w:rPr>
                <w:rFonts w:ascii="Calibri" w:hAnsi="Calibri"/>
                <w:b w:val="0"/>
                <w:sz w:val="17"/>
              </w:rPr>
              <w:t>AI role</w:t>
            </w:r>
          </w:p>
        </w:tc>
        <w:tc>
          <w:tcPr>
            <w:tcW w:type="dxa" w:w="3384"/>
            <w:vAlign w:val="top"/>
          </w:tcPr>
          <w:p>
            <w:pPr>
              <w:spacing w:after="0"/>
            </w:pPr>
            <w:r/>
            <w:r>
              <w:rPr>
                <w:rFonts w:ascii="Calibri" w:hAnsi="Calibri"/>
                <w:b w:val="0"/>
                <w:sz w:val="17"/>
              </w:rPr>
              <w:t>Often search, drafting, or billing compliance.</w:t>
            </w:r>
          </w:p>
        </w:tc>
        <w:tc>
          <w:tcPr>
            <w:tcW w:type="dxa" w:w="3528"/>
            <w:vAlign w:val="top"/>
          </w:tcPr>
          <w:p>
            <w:pPr>
              <w:spacing w:after="0"/>
            </w:pPr>
            <w:r/>
            <w:r>
              <w:rPr>
                <w:rFonts w:ascii="Calibri" w:hAnsi="Calibri"/>
                <w:b w:val="0"/>
                <w:sz w:val="17"/>
              </w:rPr>
              <w:t>Narrative drafting, classification, leakage detection, review assistance.</w:t>
            </w:r>
          </w:p>
        </w:tc>
      </w:tr>
      <w:tr>
        <w:tc>
          <w:tcPr>
            <w:tcW w:type="dxa" w:w="1944"/>
            <w:vAlign w:val="top"/>
          </w:tcPr>
          <w:p>
            <w:pPr>
              <w:spacing w:after="0"/>
            </w:pPr>
            <w:r/>
            <w:r>
              <w:rPr>
                <w:rFonts w:ascii="Calibri" w:hAnsi="Calibri"/>
                <w:b w:val="0"/>
                <w:sz w:val="17"/>
              </w:rPr>
              <w:t>Privacy posture</w:t>
            </w:r>
          </w:p>
        </w:tc>
        <w:tc>
          <w:tcPr>
            <w:tcW w:type="dxa" w:w="3384"/>
            <w:vAlign w:val="top"/>
          </w:tcPr>
          <w:p>
            <w:pPr>
              <w:spacing w:after="0"/>
            </w:pPr>
            <w:r/>
            <w:r>
              <w:rPr>
                <w:rFonts w:ascii="Calibri" w:hAnsi="Calibri"/>
                <w:b w:val="0"/>
                <w:sz w:val="17"/>
              </w:rPr>
              <w:t>Either manual entry or broad monitoring.</w:t>
            </w:r>
          </w:p>
        </w:tc>
        <w:tc>
          <w:tcPr>
            <w:tcW w:type="dxa" w:w="3528"/>
            <w:vAlign w:val="top"/>
          </w:tcPr>
          <w:p>
            <w:pPr>
              <w:spacing w:after="0"/>
            </w:pPr>
            <w:r/>
            <w:r>
              <w:rPr>
                <w:rFonts w:ascii="Calibri" w:hAnsi="Calibri"/>
                <w:b w:val="0"/>
                <w:sz w:val="17"/>
              </w:rPr>
              <w:t>Consent-first evidence capture with minimal metadata by default.</w:t>
            </w:r>
          </w:p>
        </w:tc>
      </w:tr>
      <w:tr>
        <w:tc>
          <w:tcPr>
            <w:tcW w:type="dxa" w:w="1944"/>
            <w:vAlign w:val="top"/>
          </w:tcPr>
          <w:p>
            <w:pPr>
              <w:spacing w:after="0"/>
            </w:pPr>
            <w:r/>
            <w:r>
              <w:rPr>
                <w:rFonts w:ascii="Calibri" w:hAnsi="Calibri"/>
                <w:b w:val="0"/>
                <w:sz w:val="17"/>
              </w:rPr>
              <w:t>Revenue thesis</w:t>
            </w:r>
          </w:p>
        </w:tc>
        <w:tc>
          <w:tcPr>
            <w:tcW w:type="dxa" w:w="3384"/>
            <w:vAlign w:val="top"/>
          </w:tcPr>
          <w:p>
            <w:pPr>
              <w:spacing w:after="0"/>
            </w:pPr>
            <w:r/>
            <w:r>
              <w:rPr>
                <w:rFonts w:ascii="Calibri" w:hAnsi="Calibri"/>
                <w:b w:val="0"/>
                <w:sz w:val="17"/>
              </w:rPr>
              <w:t>Manage billing operations.</w:t>
            </w:r>
          </w:p>
        </w:tc>
        <w:tc>
          <w:tcPr>
            <w:tcW w:type="dxa" w:w="3528"/>
            <w:vAlign w:val="top"/>
          </w:tcPr>
          <w:p>
            <w:pPr>
              <w:spacing w:after="0"/>
            </w:pPr>
            <w:r/>
            <w:r>
              <w:rPr>
                <w:rFonts w:ascii="Calibri" w:hAnsi="Calibri"/>
                <w:b w:val="0"/>
                <w:sz w:val="17"/>
              </w:rPr>
              <w:t>Recover lost effort before it disappears.</w:t>
            </w:r>
          </w:p>
        </w:tc>
      </w:tr>
    </w:tbl>
    <w:p/>
    <w:p>
      <w:pPr>
        <w:pStyle w:val="Heading1"/>
      </w:pPr>
      <w:r>
        <w:t>MVP Plus Roadmap</w:t>
      </w:r>
    </w:p>
    <w:p>
      <w:pPr>
        <w:pStyle w:val="ListNumber"/>
      </w:pPr>
      <w:r>
        <w:t>Phase 0 demo alignment: keep current web meter, Gmail/research capture, approvals, billables, invoices, analytics, and Zoho stable for demos.</w:t>
      </w:r>
    </w:p>
    <w:p>
      <w:pPr>
        <w:pStyle w:val="ListNumber"/>
      </w:pPr>
      <w:r>
        <w:t>Phase 1 capture reliability: extension idempotency, retry queues, source evidence panel, canonical matter terminology, billing status cleanup, audit trail.</w:t>
      </w:r>
    </w:p>
    <w:p>
      <w:pPr>
        <w:pStyle w:val="ListNumber"/>
      </w:pPr>
      <w:r>
        <w:t>Phase 2 legal meter: build web/desktop self-meter with matter selection, idle handling, app/category logging, no screenshots by default, and nonbillable classification.</w:t>
      </w:r>
    </w:p>
    <w:p>
      <w:pPr>
        <w:pStyle w:val="ListNumber"/>
      </w:pPr>
      <w:r>
        <w:t>Phase 3 meeting/call capture: integrate Google Meet, Teams, Zoom, telephony, and transcript summary through explicit consent and policy controls.</w:t>
      </w:r>
    </w:p>
    <w:p>
      <w:pPr>
        <w:pStyle w:val="ListNumber"/>
      </w:pPr>
      <w:r>
        <w:t>Phase 4 court hearing mode: self-monitored hearing timer with waiting/appearance/argument/outcome segments and next-date notes.</w:t>
      </w:r>
    </w:p>
    <w:p>
      <w:pPr>
        <w:pStyle w:val="ListNumber"/>
      </w:pPr>
      <w:r>
        <w:t>Phase 5 accounting-grade billing: integer minor currency units, invoice numbering, GST/TDS, Tally/Zoho Books, write-offs, retainer, trust/advance handling.</w:t>
      </w:r>
    </w:p>
    <w:p>
      <w:pPr>
        <w:pStyle w:val="Heading1"/>
      </w:pPr>
      <w:r>
        <w:t>Compliance, Privacy, and Trust Requirements</w:t>
      </w:r>
    </w:p>
    <w:p>
      <w:pPr>
        <w:spacing w:after="120"/>
      </w:pPr>
      <w:r>
        <w:t>Legal billing software cannot feel like generic employee monitoring. Hubstaff demonstrates market acceptance for screenshots, app/URL tracking, idle detection, and activity percentages, but the same features would be risky in a law-firm context if deployed without strict consent and matter relevance [S12][S13]. Microsoft Teams guidance also highlights the importance of recording, transcription, consent, access, and retention settings for sensitive meetings [S14].</w:t>
      </w:r>
    </w:p>
    <w:p>
      <w:pPr>
        <w:pStyle w:val="ListBullet"/>
      </w:pPr>
      <w:r>
        <w:t>Default to metadata and duration, not content capture.</w:t>
      </w:r>
    </w:p>
    <w:p>
      <w:pPr>
        <w:pStyle w:val="ListBullet"/>
      </w:pPr>
      <w:r>
        <w:t>Make content capture explicit: selected research text, meeting transcripts, call recordings, and email body analysis require user action and policy permission.</w:t>
      </w:r>
    </w:p>
    <w:p>
      <w:pPr>
        <w:pStyle w:val="ListBullet"/>
      </w:pPr>
      <w:r>
        <w:t>Show a visible meter whenever effort is being recorded.</w:t>
      </w:r>
    </w:p>
    <w:p>
      <w:pPr>
        <w:pStyle w:val="ListBullet"/>
      </w:pPr>
      <w:r>
        <w:t>Separate effort evidence from invoice output.</w:t>
      </w:r>
    </w:p>
    <w:p>
      <w:pPr>
        <w:pStyle w:val="ListBullet"/>
      </w:pPr>
      <w:r>
        <w:t>Add role-based access, immutable audit history, retention rules, export controls, and redaction workflows.</w:t>
      </w:r>
    </w:p>
    <w:p>
      <w:pPr>
        <w:pStyle w:val="ListBullet"/>
      </w:pPr>
      <w:r>
        <w:t>For India, treat DPDP Act alignment, Indian data residency options, encryption, RBAC, and audit logs as buying criteria because competitors already market these signals [S4].</w:t>
      </w:r>
    </w:p>
    <w:p>
      <w:pPr>
        <w:pStyle w:val="Heading1"/>
      </w:pPr>
      <w:r>
        <w:t>Investor and CTO Demo Narrative</w:t>
      </w:r>
    </w:p>
    <w:p>
      <w:pPr>
        <w:spacing w:after="120"/>
      </w:pPr>
      <w:r>
        <w:t>The demo should tell a single story: a lawyer's day produces value in many small fragments; BillSync captures those fragments and turns them into approved, client-ready billing without forcing the lawyer to reconstruct the day from memory.</w:t>
      </w:r>
    </w:p>
    <w:p>
      <w:pPr>
        <w:pStyle w:val="ListNumber"/>
      </w:pPr>
      <w:r>
        <w:t>Open with leakage: manual billing loses 20-40 percent of effort in the discovery hypothesis.</w:t>
      </w:r>
    </w:p>
    <w:p>
      <w:pPr>
        <w:pStyle w:val="ListNumber"/>
      </w:pPr>
      <w:r>
        <w:t>Show current MVP: login, client/matter, web meter, Gmail entry, research entry, AI narrative, approval, billable, draft invoice, dashboard.</w:t>
      </w:r>
    </w:p>
    <w:p>
      <w:pPr>
        <w:pStyle w:val="ListNumber"/>
      </w:pPr>
      <w:r>
        <w:t>Show new product vision: meeting/call capture and court-hearing meter as roadmap modules on the same activity ledger.</w:t>
      </w:r>
    </w:p>
    <w:p>
      <w:pPr>
        <w:pStyle w:val="ListNumber"/>
      </w:pPr>
      <w:r>
        <w:t>Explain the moat: legal-specific capture surfaces plus approval/audit create data competitors do not have.</w:t>
      </w:r>
    </w:p>
    <w:p>
      <w:pPr>
        <w:pStyle w:val="ListNumber"/>
      </w:pPr>
      <w:r>
        <w:t>Close with business model: per-seat SaaS plus firm admin/billing modules, extension-led onboarding, and premium AI/compliance tiers.</w:t>
      </w:r>
    </w:p>
    <w:p>
      <w:pPr>
        <w:pStyle w:val="Heading1"/>
      </w:pPr>
      <w:r>
        <w:t>Key Product Risks</w:t>
      </w:r>
    </w:p>
    <w:tbl>
      <w:tblPr>
        <w:tblStyle w:val="TableGrid"/>
        <w:tblW w:type="auto" w:w="0"/>
        <w:jc w:val="center"/>
        <w:tblLook w:firstColumn="1" w:firstRow="1" w:lastColumn="0" w:lastRow="0" w:noHBand="0" w:noVBand="1" w:val="04A0"/>
      </w:tblPr>
      <w:tblGrid>
        <w:gridCol w:w="3120"/>
        <w:gridCol w:w="3120"/>
        <w:gridCol w:w="3120"/>
      </w:tblGrid>
      <w:tr>
        <w:tc>
          <w:tcPr>
            <w:tcW w:type="dxa" w:w="2088"/>
            <w:shd w:fill="E8EEF5"/>
            <w:vAlign w:val="center"/>
          </w:tcPr>
          <w:p>
            <w:pPr>
              <w:spacing w:after="0"/>
            </w:pPr>
            <w:r/>
            <w:r>
              <w:rPr>
                <w:rFonts w:ascii="Calibri" w:hAnsi="Calibri"/>
                <w:b/>
                <w:color w:val="0B2545"/>
                <w:sz w:val="17"/>
              </w:rPr>
              <w:t>Risk</w:t>
            </w:r>
          </w:p>
        </w:tc>
        <w:tc>
          <w:tcPr>
            <w:tcW w:type="dxa" w:w="2880"/>
            <w:shd w:fill="E8EEF5"/>
            <w:vAlign w:val="center"/>
          </w:tcPr>
          <w:p>
            <w:pPr>
              <w:spacing w:after="0"/>
            </w:pPr>
            <w:r/>
            <w:r>
              <w:rPr>
                <w:rFonts w:ascii="Calibri" w:hAnsi="Calibri"/>
                <w:b/>
                <w:color w:val="0B2545"/>
                <w:sz w:val="17"/>
              </w:rPr>
              <w:t>Impact</w:t>
            </w:r>
          </w:p>
        </w:tc>
        <w:tc>
          <w:tcPr>
            <w:tcW w:type="dxa" w:w="3816"/>
            <w:shd w:fill="E8EEF5"/>
            <w:vAlign w:val="center"/>
          </w:tcPr>
          <w:p>
            <w:pPr>
              <w:spacing w:after="0"/>
            </w:pPr>
            <w:r/>
            <w:r>
              <w:rPr>
                <w:rFonts w:ascii="Calibri" w:hAnsi="Calibri"/>
                <w:b/>
                <w:color w:val="0B2545"/>
                <w:sz w:val="17"/>
              </w:rPr>
              <w:t>Mitigation</w:t>
            </w:r>
          </w:p>
        </w:tc>
      </w:tr>
      <w:tr>
        <w:tc>
          <w:tcPr>
            <w:tcW w:type="dxa" w:w="2088"/>
            <w:vAlign w:val="top"/>
          </w:tcPr>
          <w:p>
            <w:pPr>
              <w:spacing w:after="0"/>
            </w:pPr>
            <w:r/>
            <w:r>
              <w:rPr>
                <w:rFonts w:ascii="Calibri" w:hAnsi="Calibri"/>
                <w:b w:val="0"/>
                <w:sz w:val="17"/>
              </w:rPr>
              <w:t>Surveillance perception</w:t>
            </w:r>
          </w:p>
        </w:tc>
        <w:tc>
          <w:tcPr>
            <w:tcW w:type="dxa" w:w="2880"/>
            <w:vAlign w:val="top"/>
          </w:tcPr>
          <w:p>
            <w:pPr>
              <w:spacing w:after="0"/>
            </w:pPr>
            <w:r/>
            <w:r>
              <w:rPr>
                <w:rFonts w:ascii="Calibri" w:hAnsi="Calibri"/>
                <w:b w:val="0"/>
                <w:sz w:val="17"/>
              </w:rPr>
              <w:t>Lawyers may resist meters if they feel punitive.</w:t>
            </w:r>
          </w:p>
        </w:tc>
        <w:tc>
          <w:tcPr>
            <w:tcW w:type="dxa" w:w="3816"/>
            <w:vAlign w:val="top"/>
          </w:tcPr>
          <w:p>
            <w:pPr>
              <w:spacing w:after="0"/>
            </w:pPr>
            <w:r/>
            <w:r>
              <w:rPr>
                <w:rFonts w:ascii="Calibri" w:hAnsi="Calibri"/>
                <w:b w:val="0"/>
                <w:sz w:val="17"/>
              </w:rPr>
              <w:t>User-visible, matter-driven capture; no screenshots by default; lawyer edit/discard controls.</w:t>
            </w:r>
          </w:p>
        </w:tc>
      </w:tr>
      <w:tr>
        <w:tc>
          <w:tcPr>
            <w:tcW w:type="dxa" w:w="2088"/>
            <w:vAlign w:val="top"/>
          </w:tcPr>
          <w:p>
            <w:pPr>
              <w:spacing w:after="0"/>
            </w:pPr>
            <w:r/>
            <w:r>
              <w:rPr>
                <w:rFonts w:ascii="Calibri" w:hAnsi="Calibri"/>
                <w:b w:val="0"/>
                <w:sz w:val="17"/>
              </w:rPr>
              <w:t>Client confidentiality</w:t>
            </w:r>
          </w:p>
        </w:tc>
        <w:tc>
          <w:tcPr>
            <w:tcW w:type="dxa" w:w="2880"/>
            <w:vAlign w:val="top"/>
          </w:tcPr>
          <w:p>
            <w:pPr>
              <w:spacing w:after="0"/>
            </w:pPr>
            <w:r/>
            <w:r>
              <w:rPr>
                <w:rFonts w:ascii="Calibri" w:hAnsi="Calibri"/>
                <w:b w:val="0"/>
                <w:sz w:val="17"/>
              </w:rPr>
              <w:t>Email, research, and meeting content can be sensitive.</w:t>
            </w:r>
          </w:p>
        </w:tc>
        <w:tc>
          <w:tcPr>
            <w:tcW w:type="dxa" w:w="3816"/>
            <w:vAlign w:val="top"/>
          </w:tcPr>
          <w:p>
            <w:pPr>
              <w:spacing w:after="0"/>
            </w:pPr>
            <w:r/>
            <w:r>
              <w:rPr>
                <w:rFonts w:ascii="Calibri" w:hAnsi="Calibri"/>
                <w:b w:val="0"/>
                <w:sz w:val="17"/>
              </w:rPr>
              <w:t>Metadata-first capture, consent gates, encryption, redaction, retention policy.</w:t>
            </w:r>
          </w:p>
        </w:tc>
      </w:tr>
      <w:tr>
        <w:tc>
          <w:tcPr>
            <w:tcW w:type="dxa" w:w="2088"/>
            <w:vAlign w:val="top"/>
          </w:tcPr>
          <w:p>
            <w:pPr>
              <w:spacing w:after="0"/>
            </w:pPr>
            <w:r/>
            <w:r>
              <w:rPr>
                <w:rFonts w:ascii="Calibri" w:hAnsi="Calibri"/>
                <w:b w:val="0"/>
                <w:sz w:val="17"/>
              </w:rPr>
              <w:t>False precision</w:t>
            </w:r>
          </w:p>
        </w:tc>
        <w:tc>
          <w:tcPr>
            <w:tcW w:type="dxa" w:w="2880"/>
            <w:vAlign w:val="top"/>
          </w:tcPr>
          <w:p>
            <w:pPr>
              <w:spacing w:after="0"/>
            </w:pPr>
            <w:r/>
            <w:r>
              <w:rPr>
                <w:rFonts w:ascii="Calibri" w:hAnsi="Calibri"/>
                <w:b w:val="0"/>
                <w:sz w:val="17"/>
              </w:rPr>
              <w:t>Captured activity may not equal billable time.</w:t>
            </w:r>
          </w:p>
        </w:tc>
        <w:tc>
          <w:tcPr>
            <w:tcW w:type="dxa" w:w="3816"/>
            <w:vAlign w:val="top"/>
          </w:tcPr>
          <w:p>
            <w:pPr>
              <w:spacing w:after="0"/>
            </w:pPr>
            <w:r/>
            <w:r>
              <w:rPr>
                <w:rFonts w:ascii="Calibri" w:hAnsi="Calibri"/>
                <w:b w:val="0"/>
                <w:sz w:val="17"/>
              </w:rPr>
              <w:t>Draft-candidate model plus partner/admin approval and write-down reasons.</w:t>
            </w:r>
          </w:p>
        </w:tc>
      </w:tr>
      <w:tr>
        <w:tc>
          <w:tcPr>
            <w:tcW w:type="dxa" w:w="2088"/>
            <w:vAlign w:val="top"/>
          </w:tcPr>
          <w:p>
            <w:pPr>
              <w:spacing w:after="0"/>
            </w:pPr>
            <w:r/>
            <w:r>
              <w:rPr>
                <w:rFonts w:ascii="Calibri" w:hAnsi="Calibri"/>
                <w:b w:val="0"/>
                <w:sz w:val="17"/>
              </w:rPr>
              <w:t>Legal admissibility / dispute handling</w:t>
            </w:r>
          </w:p>
        </w:tc>
        <w:tc>
          <w:tcPr>
            <w:tcW w:type="dxa" w:w="2880"/>
            <w:vAlign w:val="top"/>
          </w:tcPr>
          <w:p>
            <w:pPr>
              <w:spacing w:after="0"/>
            </w:pPr>
            <w:r/>
            <w:r>
              <w:rPr>
                <w:rFonts w:ascii="Calibri" w:hAnsi="Calibri"/>
                <w:b w:val="0"/>
                <w:sz w:val="17"/>
              </w:rPr>
              <w:t>Clients may challenge vague or excessive entries.</w:t>
            </w:r>
          </w:p>
        </w:tc>
        <w:tc>
          <w:tcPr>
            <w:tcW w:type="dxa" w:w="3816"/>
            <w:vAlign w:val="top"/>
          </w:tcPr>
          <w:p>
            <w:pPr>
              <w:spacing w:after="0"/>
            </w:pPr>
            <w:r/>
            <w:r>
              <w:rPr>
                <w:rFonts w:ascii="Calibri" w:hAnsi="Calibri"/>
                <w:b w:val="0"/>
                <w:sz w:val="17"/>
              </w:rPr>
              <w:t>Clean narratives, source evidence, audit trail, approval record.</w:t>
            </w:r>
          </w:p>
        </w:tc>
      </w:tr>
      <w:tr>
        <w:tc>
          <w:tcPr>
            <w:tcW w:type="dxa" w:w="2088"/>
            <w:vAlign w:val="top"/>
          </w:tcPr>
          <w:p>
            <w:pPr>
              <w:spacing w:after="0"/>
            </w:pPr>
            <w:r/>
            <w:r>
              <w:rPr>
                <w:rFonts w:ascii="Calibri" w:hAnsi="Calibri"/>
                <w:b w:val="0"/>
                <w:sz w:val="17"/>
              </w:rPr>
              <w:t>Integration complexity</w:t>
            </w:r>
          </w:p>
        </w:tc>
        <w:tc>
          <w:tcPr>
            <w:tcW w:type="dxa" w:w="2880"/>
            <w:vAlign w:val="top"/>
          </w:tcPr>
          <w:p>
            <w:pPr>
              <w:spacing w:after="0"/>
            </w:pPr>
            <w:r/>
            <w:r>
              <w:rPr>
                <w:rFonts w:ascii="Calibri" w:hAnsi="Calibri"/>
                <w:b w:val="0"/>
                <w:sz w:val="17"/>
              </w:rPr>
              <w:t>Meeting, call, court, Zoho, Tally, and browser surfaces can sprawl.</w:t>
            </w:r>
          </w:p>
        </w:tc>
        <w:tc>
          <w:tcPr>
            <w:tcW w:type="dxa" w:w="3816"/>
            <w:vAlign w:val="top"/>
          </w:tcPr>
          <w:p>
            <w:pPr>
              <w:spacing w:after="0"/>
            </w:pPr>
            <w:r/>
            <w:r>
              <w:rPr>
                <w:rFonts w:ascii="Calibri" w:hAnsi="Calibri"/>
                <w:b w:val="0"/>
                <w:sz w:val="17"/>
              </w:rPr>
              <w:t>Prioritize Gmail/research + core approval path before expanding.</w:t>
            </w:r>
          </w:p>
        </w:tc>
      </w:tr>
      <w:tr>
        <w:tc>
          <w:tcPr>
            <w:tcW w:type="dxa" w:w="2088"/>
            <w:vAlign w:val="top"/>
          </w:tcPr>
          <w:p>
            <w:pPr>
              <w:spacing w:after="0"/>
            </w:pPr>
            <w:r/>
            <w:r>
              <w:rPr>
                <w:rFonts w:ascii="Calibri" w:hAnsi="Calibri"/>
                <w:b w:val="0"/>
                <w:sz w:val="17"/>
              </w:rPr>
              <w:t>Accounting accuracy</w:t>
            </w:r>
          </w:p>
        </w:tc>
        <w:tc>
          <w:tcPr>
            <w:tcW w:type="dxa" w:w="2880"/>
            <w:vAlign w:val="top"/>
          </w:tcPr>
          <w:p>
            <w:pPr>
              <w:spacing w:after="0"/>
            </w:pPr>
            <w:r/>
            <w:r>
              <w:rPr>
                <w:rFonts w:ascii="Calibri" w:hAnsi="Calibri"/>
                <w:b w:val="0"/>
                <w:sz w:val="17"/>
              </w:rPr>
              <w:t>Floating money values and invoice divergence create production risk.</w:t>
            </w:r>
          </w:p>
        </w:tc>
        <w:tc>
          <w:tcPr>
            <w:tcW w:type="dxa" w:w="3816"/>
            <w:vAlign w:val="top"/>
          </w:tcPr>
          <w:p>
            <w:pPr>
              <w:spacing w:after="0"/>
            </w:pPr>
            <w:r/>
            <w:r>
              <w:rPr>
                <w:rFonts w:ascii="Calibri" w:hAnsi="Calibri"/>
                <w:b w:val="0"/>
                <w:sz w:val="17"/>
              </w:rPr>
              <w:t>Minor currency units, canonical invoice source, transactional generation.</w:t>
            </w:r>
          </w:p>
        </w:tc>
      </w:tr>
    </w:tbl>
    <w:p/>
    <w:p>
      <w:pPr>
        <w:pStyle w:val="Heading1"/>
      </w:pPr>
      <w:r>
        <w:t>Recommended Next PM Actions</w:t>
      </w:r>
    </w:p>
    <w:p>
      <w:pPr>
        <w:pStyle w:val="ListNumber"/>
      </w:pPr>
      <w:r>
        <w:t>Run 10 discovery interviews across solo advocates, boutique litigation firms, mid-size corporate firms, and billing/admin teams.</w:t>
      </w:r>
    </w:p>
    <w:p>
      <w:pPr>
        <w:pStyle w:val="ListNumber"/>
      </w:pPr>
      <w:r>
        <w:t>Validate leakage with a pilot: compare observed captured effort against final submitted and invoiced time.</w:t>
      </w:r>
    </w:p>
    <w:p>
      <w:pPr>
        <w:pStyle w:val="ListNumber"/>
      </w:pPr>
      <w:r>
        <w:t>Freeze product language: BillSync Legal, Client, Matter, Activity, Draft Time, Submitted, Approved, Billable, Invoiced, Paid.</w:t>
      </w:r>
    </w:p>
    <w:p>
      <w:pPr>
        <w:pStyle w:val="ListNumber"/>
      </w:pPr>
      <w:r>
        <w:t>Create a capture consent policy before building meeting/call recording.</w:t>
      </w:r>
    </w:p>
    <w:p>
      <w:pPr>
        <w:pStyle w:val="ListNumber"/>
      </w:pPr>
      <w:r>
        <w:t>Build a role-by-role permission matrix and audit-log event catalog.</w:t>
      </w:r>
    </w:p>
    <w:p>
      <w:pPr>
        <w:pStyle w:val="ListNumber"/>
      </w:pPr>
      <w:r>
        <w:t>Define the demo path and keep it deterministic for investor and CTO review.</w:t>
      </w:r>
    </w:p>
    <w:p>
      <w:pPr>
        <w:pStyle w:val="ListNumber"/>
      </w:pPr>
      <w:r>
        <w:t>Use competitor gaps to focus sales messaging: not 'another ERP', but 'recover work before it disappears'.</w:t>
      </w:r>
    </w:p>
    <w:p>
      <w:pPr>
        <w:pStyle w:val="Heading1"/>
      </w:pPr>
      <w:r>
        <w:t>Source Notes</w:t>
      </w:r>
    </w:p>
    <w:p>
      <w:pPr>
        <w:spacing w:after="60"/>
      </w:pPr>
      <w:r>
        <w:rPr>
          <w:b/>
        </w:rPr>
        <w:t xml:space="preserve">[S1] </w:t>
      </w:r>
      <w:r>
        <w:t>Existing BillSync PRD/SRS, June 6 2026: E:\Shwetal\docs\BillSync_Product_Review_PRD_SRS_June_6_2026.md</w:t>
      </w:r>
    </w:p>
    <w:p>
      <w:pPr>
        <w:spacing w:after="60"/>
      </w:pPr>
      <w:r>
        <w:rPr>
          <w:b/>
        </w:rPr>
        <w:t xml:space="preserve">[S2] </w:t>
      </w:r>
      <w:r>
        <w:t>RazorLex official site: https://www.razorlex.com/</w:t>
      </w:r>
    </w:p>
    <w:p>
      <w:pPr>
        <w:spacing w:after="60"/>
      </w:pPr>
      <w:r>
        <w:rPr>
          <w:b/>
        </w:rPr>
        <w:t xml:space="preserve">[S3] </w:t>
      </w:r>
      <w:r>
        <w:t>Provakil legal practice management: https://provakil.com/legal-practice-management</w:t>
      </w:r>
    </w:p>
    <w:p>
      <w:pPr>
        <w:spacing w:after="60"/>
      </w:pPr>
      <w:r>
        <w:rPr>
          <w:b/>
        </w:rPr>
        <w:t xml:space="preserve">[S4] </w:t>
      </w:r>
      <w:r>
        <w:t>eLawOffice official site: https://elawoffice.in/</w:t>
      </w:r>
    </w:p>
    <w:p>
      <w:pPr>
        <w:spacing w:after="60"/>
      </w:pPr>
      <w:r>
        <w:rPr>
          <w:b/>
        </w:rPr>
        <w:t xml:space="preserve">[S5] </w:t>
      </w:r>
      <w:r>
        <w:t>Qlerk official site: https://qlerk.in/</w:t>
      </w:r>
    </w:p>
    <w:p>
      <w:pPr>
        <w:spacing w:after="60"/>
      </w:pPr>
      <w:r>
        <w:rPr>
          <w:b/>
        </w:rPr>
        <w:t xml:space="preserve">[S6] </w:t>
      </w:r>
      <w:r>
        <w:t>Bilr India official site: https://www.bilr.co.in/</w:t>
      </w:r>
    </w:p>
    <w:p>
      <w:pPr>
        <w:spacing w:after="60"/>
      </w:pPr>
      <w:r>
        <w:rPr>
          <w:b/>
        </w:rPr>
        <w:t xml:space="preserve">[S7] </w:t>
      </w:r>
      <w:r>
        <w:t>Manupatra legal tech suite: https://demo.manupatra.com/index/manupatra</w:t>
      </w:r>
    </w:p>
    <w:p>
      <w:pPr>
        <w:spacing w:after="60"/>
      </w:pPr>
      <w:r>
        <w:rPr>
          <w:b/>
        </w:rPr>
        <w:t xml:space="preserve">[S8] </w:t>
      </w:r>
      <w:r>
        <w:t>TimeSolv official site: https://www.timesolv.com/</w:t>
      </w:r>
    </w:p>
    <w:p>
      <w:pPr>
        <w:spacing w:after="60"/>
      </w:pPr>
      <w:r>
        <w:rPr>
          <w:b/>
        </w:rPr>
        <w:t xml:space="preserve">[S9] </w:t>
      </w:r>
      <w:r>
        <w:t>PracticePanther legal billing: https://www.practicepanther.com/legal-billing/</w:t>
      </w:r>
    </w:p>
    <w:p>
      <w:pPr>
        <w:spacing w:after="60"/>
      </w:pPr>
      <w:r>
        <w:rPr>
          <w:b/>
        </w:rPr>
        <w:t xml:space="preserve">[S10] </w:t>
      </w:r>
      <w:r>
        <w:t>CosmoLex lost billable hours guide: https://www.cosmolex.com/blog/recovering-lost-billable-hours-a-time-tracking-guide-for-litigation-attorneys/</w:t>
      </w:r>
    </w:p>
    <w:p>
      <w:pPr>
        <w:spacing w:after="60"/>
      </w:pPr>
      <w:r>
        <w:rPr>
          <w:b/>
        </w:rPr>
        <w:t xml:space="preserve">[S11] </w:t>
      </w:r>
      <w:r>
        <w:t>Illinois State Bar Association, Timekeeping and Billing Systems: https://www.isba.org/sites/default/files/practicehq/whitepapers/WP%20-%20Timekeeping%20and%20Billing%20Systems.pdf</w:t>
      </w:r>
    </w:p>
    <w:p>
      <w:pPr>
        <w:spacing w:after="60"/>
      </w:pPr>
      <w:r>
        <w:rPr>
          <w:b/>
        </w:rPr>
        <w:t xml:space="preserve">[S12] </w:t>
      </w:r>
      <w:r>
        <w:t>Hubstaff activity tracking support: https://support.hubstaff.com/activity-tracking-overview/</w:t>
      </w:r>
    </w:p>
    <w:p>
      <w:pPr>
        <w:spacing w:after="60"/>
      </w:pPr>
      <w:r>
        <w:rPr>
          <w:b/>
        </w:rPr>
        <w:t xml:space="preserve">[S13] </w:t>
      </w:r>
      <w:r>
        <w:t>Hubstaff time tracker apps overview: https://support.hubstaff.com/time-tracker-apps-overview/</w:t>
      </w:r>
    </w:p>
    <w:p>
      <w:pPr>
        <w:spacing w:after="60"/>
      </w:pPr>
      <w:r>
        <w:rPr>
          <w:b/>
        </w:rPr>
        <w:t xml:space="preserve">[S14] </w:t>
      </w:r>
      <w:r>
        <w:t>Microsoft Teams recording options: https://learn.microsoft.com/en-us/microsoftteams/manage-meeting-recording-options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BillSync Legal Phase 1 Research | June 6,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