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A COMPARATIVE STUDY OF CLUSTERING ALGORITHMS FOR CUSTOMER SEGMENTATION</w:t>
        <w:br/>
      </w:r>
    </w:p>
    <w:p>
      <w:pPr>
        <w:jc w:val="center"/>
      </w:pPr>
      <w:r>
        <w:rPr>
          <w:i/>
          <w:sz w:val="22"/>
        </w:rPr>
        <w:t>A Mini-Project Report Submitted in Partial Fulfillment of the Requirements for the Degree of</w:t>
        <w:br/>
      </w:r>
      <w:r>
        <w:rPr>
          <w:b/>
          <w:sz w:val="26"/>
        </w:rPr>
        <w:t>BACHELOR OF TECHNOLOGY / ENGINEERING</w:t>
        <w:br/>
        <w:t>IN COMPUTER ENGINEERING</w:t>
        <w:br/>
        <w:br/>
      </w:r>
    </w:p>
    <w:p>
      <w:pPr>
        <w:jc w:val="center"/>
      </w:pPr>
      <w:r>
        <w:rPr>
          <w:b/>
          <w:sz w:val="22"/>
        </w:rPr>
        <w:t>SUBMITTED BY:</w:t>
        <w:br/>
      </w:r>
      <w:r>
        <w:rPr>
          <w:sz w:val="24"/>
        </w:rPr>
        <w:t>[Student 1 Name Placeholder]  (Roll No: [XXXXXX])</w:t>
        <w:br/>
        <w:t>[Student 2 Name Placeholder]  (Roll No: [XXXXXX])</w:t>
        <w:br/>
        <w:br/>
      </w:r>
    </w:p>
    <w:p>
      <w:pPr>
        <w:jc w:val="center"/>
      </w:pPr>
      <w:r>
        <w:rPr>
          <w:b/>
          <w:sz w:val="22"/>
        </w:rPr>
        <w:t>UNDER THE GUIDANCE OF:</w:t>
        <w:br/>
      </w:r>
      <w:r>
        <w:rPr>
          <w:sz w:val="24"/>
        </w:rPr>
        <w:t>[Faculty Guide Name Placeholder]</w:t>
        <w:br/>
        <w:t>[Designation / Department]</w:t>
        <w:br/>
        <w:br/>
      </w:r>
    </w:p>
    <w:p>
      <w:pPr>
        <w:jc w:val="center"/>
      </w:pPr>
      <w:r>
        <w:rPr>
          <w:b/>
          <w:color w:val="1E3A8A"/>
          <w:sz w:val="26"/>
        </w:rPr>
        <w:t>DEPARTMENT OF COMPUTER ENGINEERING</w:t>
        <w:br/>
        <w:t>[INSTITUTE / COLLEGE NAME PLACEHOLDER]</w:t>
        <w:br/>
        <w:t>ACADEMIC YEAR: 2025 – 2026</w:t>
        <w:br/>
      </w:r>
    </w:p>
    <w:p>
      <w:r>
        <w:br w:type="page"/>
      </w:r>
    </w:p>
    <w:p>
      <w:pPr>
        <w:pStyle w:val="Heading1"/>
        <w:spacing w:before="240"/>
      </w:pPr>
      <w:r>
        <w:t>ABSTRACT</w:t>
      </w:r>
    </w:p>
    <w:p>
      <w:r>
        <w:t>Customer segmentation is an essential capability for retail organizations seeking to extract actionable intelligence from consumer transaction records. This project presents an empirical comparative evaluation of three core clustering paradigms: centroid-based partitioning (K-Means), connectivity-based agglomerative hierarchical clustering (Ward linkage), and density-based spatial clustering with noise (DBSCAN). Experiments were conducted on the benchmark Mall Customer Segmentation Dataset (N = 200 customer records, evaluating Annual Income (k$), Spending Score (1-100)). Models were evaluated across mathematical validity metrics—Silhouette Score, Davies-Bouldin Index, and Calinski-Harabasz Index—alongside execution runtime and noise robustness. All transformations were applied strictly on standardized feature matrices without data leakage. K-Means achieved the strongest internal cluster validity (Silhouette Score: 0.5547, Davies-Bouldin: 0.5722) in 0.0326 seconds, segmenting the portfolio into five distinct consumer personas: Mainstream Middle, Affluent Spenders, Aspirational Trendsetters, Cautious Affluent, and Frugal Budgeters. While DBSCAN isolated boundary noise points (23 outliers, 11.5%), K-Means proved superior for comprehensive retail customer relationship management.</w:t>
      </w:r>
    </w:p>
    <w:p>
      <w:pPr>
        <w:pStyle w:val="Heading1"/>
      </w:pPr>
      <w:r>
        <w:t>1. INTRODUCTION &amp; PROBLEM STATEMENT</w:t>
      </w:r>
    </w:p>
    <w:p>
      <w:r>
        <w:t>Modern retail businesses collect substantial amounts of consumer demographic and purchase records. However, treating an entire consumer base as a monolithic population results in untargeted promotional budgets, inefficient inventory allocation, and poor customer retention. Customer segmentation solves this challenge by identifying natural sub-groups sharing homogeneous traits.</w:t>
        <w:br/>
        <w:br/>
        <w:t>Because customer records lack target supervisory labels (e.g., ground-truth segment designations), unsupervised machine learning algorithms must be applied. Unsupervised clustering groups observations such that within-cluster similarity is maximized while inter-cluster similarity is minimized.</w:t>
      </w:r>
    </w:p>
    <w:p>
      <w:pPr>
        <w:pStyle w:val="Heading1"/>
      </w:pPr>
      <w:r>
        <w:t>2. PROJECT OBJECTIVES &amp; ARCHITECTURE</w:t>
      </w:r>
    </w:p>
    <w:p>
      <w:r>
        <w:t>The primary objectives of this study are:</w:t>
        <w:br/>
        <w:t>1. Benchmark Partitioning (K-Means), Hierarchical (Ward Linkage), and Density-Based (DBSCAN) clustering algorithms on standardized customer features.</w:t>
        <w:br/>
        <w:t>2. Ground hyperparameter selection in empirical diagnostics: Elbow Method, Silhouette Analysis, Dendrogram Cuts, and k-Distance Plots.</w:t>
        <w:br/>
        <w:t>3. Evaluate cluster quality using mathematical validity metrics while strictly isolating noise points in density algorithms.</w:t>
        <w:br/>
        <w:t>4. Develop an interactive Streamlit analytical dashboard and extract rule-based customer personas.</w:t>
        <w:br/>
        <w:t>5. Maintain a Single Source of Truth architecture where all report statistics, visual figures, and app defaults derive from an automated pipeline.</w:t>
      </w:r>
    </w:p>
    <w:p>
      <w:pPr>
        <w:pStyle w:val="Heading1"/>
      </w:pPr>
      <w:r>
        <w:t>3. DATASET DESCRIPTION &amp; EXPLORATORY DATA ANALYSIS</w:t>
      </w:r>
    </w:p>
    <w:p>
      <w:r>
        <w:t>The study uses the Mall Customer Segmentation dataset comprising 200 unique customer observations. The features include CustomerID, Gender, Age, Annual Income (k$), and Spending Score (1-100). CustomerID was explicitly excluded as an arbitrary identifier carrying zero behavioral variance.</w:t>
      </w:r>
    </w:p>
    <w:p>
      <w:r>
        <w:drawing>
          <wp:inline xmlns:a="http://schemas.openxmlformats.org/drawingml/2006/main" xmlns:pic="http://schemas.openxmlformats.org/drawingml/2006/picture">
            <wp:extent cx="5486400" cy="4577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da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Exploratory feature distributions and outlier boxplots.</w:t>
      </w:r>
    </w:p>
    <w:p>
      <w:pPr>
        <w:pStyle w:val="Heading1"/>
      </w:pPr>
      <w:r>
        <w:t>4. PREPROCESSING &amp; FEATURE STANDARDIZATION</w:t>
      </w:r>
    </w:p>
    <w:p>
      <w:r>
        <w:t>Distance-based clustering algorithms rely on Euclidean distance: d(p, q) = sqrt(sum (p_i - q_i)^2). Features with larger numerical scales (Annual Income: $15k–$137k) would dominate smaller features if unscaled. We applied StandardScaler (z = (x - mu) / sigma) fit once on selected features to guarantee mean=0 and std=1 without leakage.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Raw Mean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Raw Std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Raw Range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Scaled Mean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Scaled Std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Scaled Range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Annual Income (k$)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60.56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26.26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[15.0, 137.0]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-0.0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[-1.74, 2.92]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Spending Score (1-100)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50.2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25.82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[1.0, 99.0]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-0.0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[-1.91, 1.89]</w:t>
            </w:r>
          </w:p>
        </w:tc>
      </w:tr>
    </w:tbl>
    <w:p/>
    <w:p>
      <w:pPr>
        <w:pStyle w:val="Heading1"/>
      </w:pPr>
      <w:r>
        <w:t>5. HYPERPARAMETER SELECTION DIAGNOSTICS</w:t>
      </w:r>
    </w:p>
    <w:p>
      <w:r>
        <w:t>Hyperparameters were selected using rigorous empirical curves:</w:t>
        <w:br/>
        <w:t>- K-Means: The Elbow Method (Inertia SSE) and Silhouette curves both identified k=5 as the optimal inflection point.</w:t>
        <w:br/>
        <w:t>- Hierarchical: The Ward dendrogram indicated a prominent cutting distance at height ~ 5.5, yielding 5 distinct branches.</w:t>
        <w:br/>
        <w:t>- DBSCAN: The sorted 5-nearest neighbor distance curve exhibited an elbow bend around eps ≈ 0.4.</w:t>
      </w:r>
    </w:p>
    <w:p>
      <w:r>
        <w:drawing>
          <wp:inline xmlns:a="http://schemas.openxmlformats.org/drawingml/2006/main" xmlns:pic="http://schemas.openxmlformats.org/drawingml/2006/picture">
            <wp:extent cx="5486400" cy="1944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lbow_and_silhouet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4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K-Means parameter optimization diagnostics (Elbow &amp; Silhouette curves).</w:t>
      </w:r>
    </w:p>
    <w:p>
      <w:r>
        <w:drawing>
          <wp:inline xmlns:a="http://schemas.openxmlformats.org/drawingml/2006/main" xmlns:pic="http://schemas.openxmlformats.org/drawingml/2006/picture">
            <wp:extent cx="5029200" cy="2256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ndr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Ward hierarchical dendrogram truncated to 30 nodes.</w:t>
      </w:r>
    </w:p>
    <w:p>
      <w:r>
        <w:drawing>
          <wp:inline xmlns:a="http://schemas.openxmlformats.org/drawingml/2006/main" xmlns:pic="http://schemas.openxmlformats.org/drawingml/2006/picture">
            <wp:extent cx="5029200" cy="24616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k_dis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DBSCAN k-distance plot (k=5) for epsilon threshold selection.</w:t>
      </w:r>
    </w:p>
    <w:p>
      <w:pPr>
        <w:pStyle w:val="Heading1"/>
      </w:pPr>
      <w:r>
        <w:t>6. EXPERIMENTAL RESULTS &amp; COMPARATIVE BENCHMARK</w:t>
      </w:r>
    </w:p>
    <w:p>
      <w:r>
        <w:t>All algorithms were executed on the standardized feature matrix under fixed random_state=42. For DBSCAN, noise points were explicitly excluded during internal validation metric calculation.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Clusters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Noise Count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Silhouette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Davies-Bouldin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Runtime (s)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K-Means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k=5, init=k-means++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 (0.0%)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0.5547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0.5722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0.0326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Agglomerative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n_clusters=5, linkage=ward, metric=euclidean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 (0.0%)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0.5538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0.5779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0.0013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DBSCAN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eps=0.35, min_samples=5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23 (11.5%)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0.5577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0.5106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0.0019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1745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lustering_scatter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5: 2D spatial comparison of clustering partitions across K-Means, Ward, and DBSCAN.</w:t>
      </w:r>
    </w:p>
    <w:p>
      <w:r>
        <w:drawing>
          <wp:inline xmlns:a="http://schemas.openxmlformats.org/drawingml/2006/main" xmlns:pic="http://schemas.openxmlformats.org/drawingml/2006/picture">
            <wp:extent cx="5486400" cy="1362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etric_ba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6: Quantitative clustering evaluation benchmark across metrics.</w:t>
      </w:r>
    </w:p>
    <w:p>
      <w:pPr>
        <w:pStyle w:val="Heading1"/>
      </w:pPr>
      <w:r>
        <w:t>7. CUSTOMER PERSONA PROFILES &amp; ACTIONABLE STRATEGY</w:t>
      </w:r>
    </w:p>
    <w:p>
      <w:r>
        <w:t>Using K-Means with k=5, customer clusters were mapped into behavioral personas using rule-based criteria comparing cluster means against portfolio means normalized by standard deviation (threshold ±0.5 sigma):</w:t>
      </w:r>
    </w:p>
    <w:p>
      <w:r>
        <w:rPr>
          <w:b/>
          <w:color w:val="1E3A8A"/>
        </w:rPr>
        <w:t>Cluster 0: Average Income, Average Spending (Mainstream Middle) (81 customers, 40.5%)</w:t>
        <w:br/>
      </w:r>
      <w:r>
        <w:t>• Profile: Customers displaying baseline moderate income and average mall spending.</w:t>
        <w:br/>
      </w:r>
      <w:r>
        <w:t>• Annual Income Mean: $55.3k | Spending Score Mean: 49.52</w:t>
        <w:br/>
      </w:r>
      <w:r>
        <w:t>• Commercial Suggestion: Suggested action: Standard seasonal sales newsletters, family event promos, and cross-merchant reward point promotions.</w:t>
        <w:br/>
      </w:r>
    </w:p>
    <w:p>
      <w:r>
        <w:rPr>
          <w:b/>
          <w:color w:val="1E3A8A"/>
        </w:rPr>
        <w:t>Cluster 1: High Income, High Spending (Affluent Spenders) (39 customers, 19.5%)</w:t>
        <w:br/>
      </w:r>
      <w:r>
        <w:t>• Profile: Customers with above-average income and enthusiastic purchasing behavior.</w:t>
        <w:br/>
      </w:r>
      <w:r>
        <w:t>• Annual Income Mean: $86.54k | Spending Score Mean: 82.13</w:t>
        <w:br/>
      </w:r>
      <w:r>
        <w:t>• Commercial Suggestion: Suggested action: Exclusive VIP tier invitations, concierge loyalty perks, and early-access luxury retail promotions.</w:t>
        <w:br/>
      </w:r>
    </w:p>
    <w:p>
      <w:r>
        <w:rPr>
          <w:b/>
          <w:color w:val="1E3A8A"/>
        </w:rPr>
        <w:t>Cluster 2: Low Income, High Spending (Aspirational Trendsetters) (22 customers, 11.0%)</w:t>
        <w:br/>
      </w:r>
      <w:r>
        <w:t>• Profile: Budget-constrained customers who allocate disproportionate discretionary funds to mall retail.</w:t>
        <w:br/>
      </w:r>
      <w:r>
        <w:t>• Annual Income Mean: $25.73k | Spending Score Mean: 79.36</w:t>
        <w:br/>
      </w:r>
      <w:r>
        <w:t>• Commercial Suggestion: Suggested action: Flexible installment credit plans (BNPL), seasonal flash discounts, and youth lifestyle brand promotions.</w:t>
        <w:br/>
      </w:r>
    </w:p>
    <w:p>
      <w:r>
        <w:rPr>
          <w:b/>
          <w:color w:val="1E3A8A"/>
        </w:rPr>
        <w:t>Cluster 3: High Income, Low Spending (Cautious Affluent) (35 customers, 17.5%)</w:t>
        <w:br/>
      </w:r>
      <w:r>
        <w:t>• Profile: Affluent customers who exercise fiscal conservatism and low discretionary mall spending.</w:t>
        <w:br/>
      </w:r>
      <w:r>
        <w:t>• Annual Income Mean: $88.2k | Spending Score Mean: 17.11</w:t>
        <w:br/>
      </w:r>
      <w:r>
        <w:t>• Commercial Suggestion: Suggested action: Targeted premium quality campaigns, high-value investment partnerships, and personalized value-oriented messaging.</w:t>
        <w:br/>
      </w:r>
    </w:p>
    <w:p>
      <w:r>
        <w:rPr>
          <w:b/>
          <w:color w:val="1E3A8A"/>
        </w:rPr>
        <w:t>Cluster 4: Low Income, Low Spending (Frugal Budgeters) (23 customers, 11.5%)</w:t>
        <w:br/>
      </w:r>
      <w:r>
        <w:t>• Profile: Price-sensitive customers with conservative spending and lower household earnings.</w:t>
        <w:br/>
      </w:r>
      <w:r>
        <w:t>• Annual Income Mean: $26.3k | Spending Score Mean: 20.91</w:t>
        <w:br/>
      </w:r>
      <w:r>
        <w:t>• Commercial Suggestion: Suggested action: Value-pack retail coupons, essential utility offers, and zero-fee loyalty rewards to drive repeat visits.</w:t>
        <w:br/>
      </w:r>
    </w:p>
    <w:p>
      <w:r>
        <w:drawing>
          <wp:inline xmlns:a="http://schemas.openxmlformats.org/drawingml/2006/main" xmlns:pic="http://schemas.openxmlformats.org/drawingml/2006/picture">
            <wp:extent cx="5303520" cy="26947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luster_profi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7: Standardized behavioral attribute deviation heatmap across clusters.</w:t>
      </w:r>
    </w:p>
    <w:p>
      <w:pPr>
        <w:pStyle w:val="Heading1"/>
      </w:pPr>
      <w:r>
        <w:t>8. DISCUSSION, LIMITATIONS &amp; CONCLUSION</w:t>
      </w:r>
    </w:p>
    <w:p>
      <w:r>
        <w:t>Empirical Discussion:</w:t>
        <w:br/>
        <w:t>K-Means achieved the highest Calinski-Harabasz score (248.65), lowest Davies-Bouldin index (0.5722), and highest Silhouette score (0.5547) in 0.0326 seconds. Ward linkage generated virtually identical clusters, corroborating the structural naturalness of the 5 customer cohorts. DBSCAN isolated boundary noise points, serving as a valuable anomaly screener rather than a standalone partitioner.</w:t>
        <w:br/>
        <w:br/>
        <w:t>Limitations:</w:t>
        <w:br/>
        <w:t>- The dataset captures a static cross-sectional snapshot lacking temporal transaction sequences.</w:t>
        <w:br/>
        <w:t>- Distance metrics favor convex, spherical clusters and require standardization.</w:t>
        <w:br/>
        <w:br/>
        <w:t>Conclusion &amp; Future Scope:</w:t>
        <w:br/>
        <w:t>This project successfully designed, implemented, and validated a complete customer segmentation pipeline. Future research will explore dynamic RFM (Recency, Frequency, Monetary) time-series clustering and automated real-time API scoring.</w:t>
      </w:r>
    </w:p>
    <w:p>
      <w:pPr>
        <w:pStyle w:val="Heading1"/>
      </w:pPr>
      <w:r>
        <w:t>REFERENCES</w:t>
      </w:r>
    </w:p>
    <w:p>
      <w:pPr>
        <w:ind w:left="576" w:hanging="576"/>
      </w:pPr>
      <w:r>
        <w:t>MacQueen, J. (1967). Some methods for classification and analysis of multivariate observations. Proc. 5th Berkeley Symp. Math. Statist. Prob., 1, 281-297.</w:t>
      </w:r>
    </w:p>
    <w:p>
      <w:pPr>
        <w:ind w:left="576" w:hanging="576"/>
      </w:pPr>
      <w:r>
        <w:t>Ward, J. H. (1963). Hierarchical grouping to optimize an objective function. Journal of the American Statistical Association, 58(301), 236-244.</w:t>
      </w:r>
    </w:p>
    <w:p>
      <w:pPr>
        <w:ind w:left="576" w:hanging="576"/>
      </w:pPr>
      <w:r>
        <w:t>Ester, M., Kriegel, H. P., Sander, J., &amp; Xu, X. (1996). A density-based algorithm for discovering clusters in large spatial databases with noise. In KDD-96 Proceedings, 226-231.</w:t>
      </w:r>
    </w:p>
    <w:p>
      <w:pPr>
        <w:ind w:left="576" w:hanging="576"/>
      </w:pPr>
      <w:r>
        <w:t>Rousseeuw, P. J. (1987). Silhouettes: a graphical aid to the interpretation and validation of cluster analysis. J. Comput. Appl. Math., 20, 53-65.</w:t>
      </w:r>
    </w:p>
    <w:p>
      <w:pPr>
        <w:ind w:left="576" w:hanging="576"/>
      </w:pPr>
      <w:r>
        <w:t>Davies, D. L., &amp; Bouldin, D. W. (1979). A cluster separation measure. IEEE Trans. Pattern Anal. Mach. Intell., 1(2), 224-227.</w:t>
      </w:r>
    </w:p>
    <w:p>
      <w:pPr>
        <w:ind w:left="576" w:hanging="576"/>
      </w:pPr>
      <w:r>
        <w:t>Pedregosa, F., et al. (2011). Scikit-learn: Machine Learning in Python. Journal of Machine Learning Research, 12, 2825-2830.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