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rFonts w:ascii="Arial" w:cs="Arial" w:eastAsia="Arial" w:hAnsi="Arial"/>
          <w:b/>
          <w:bCs/>
          <w:color w:val="E63946"/>
          <w:sz w:val="20"/>
          <w:szCs w:val="20"/>
        </w:rPr>
        <w:t xml:space="preserve">PROJECT 1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Error Management Dashboard</w:t>
      </w:r>
    </w:p>
    <w:p>
      <w:pPr>
        <w:spacing w:after="60"/>
      </w:pPr>
      <w:r>
        <w:rPr>
          <w:rFonts w:ascii="Arial" w:cs="Arial" w:eastAsia="Arial" w:hAnsi="Arial"/>
          <w:color w:val="6B7A99"/>
          <w:sz w:val="24"/>
          <w:szCs w:val="24"/>
        </w:rPr>
        <w:t xml:space="preserve">Tableau Data Analysis Report — Q1 2026</w:t>
      </w:r>
    </w:p>
    <w:p>
      <w:pPr>
        <w:spacing w:after="40"/>
      </w:pPr>
      <w:r>
        <w:rPr>
          <w:rFonts w:ascii="Arial" w:cs="Arial" w:eastAsia="Arial" w:hAnsi="Arial"/>
          <w:color w:val="6B7A99"/>
          <w:sz w:val="20"/>
          <w:szCs w:val="20"/>
        </w:rPr>
        <w:t xml:space="preserve">Owner: Analytics Team   |   Period: Feb 11 – Mar 12, 2026   |   Locations: 6</w:t>
      </w:r>
    </w:p>
    <w:p>
      <w:pPr>
        <w:pBdr>
          <w:bottom w:val="single" w:color="E63946" w:sz="6" w:space="1"/>
        </w:pBdr>
        <w:spacing w:after="200"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report documents the design, implementation, and findings of the Error Management Tableau Dashboard — Project 1. The dashboard was built to provide real-time visibility into system error trends, incident severity distributions, mean time to resolution (MTTR), and geographic error patterns across six global locations.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Over the 30-day reporting period (February 11 to March 12, 2026), the system logged 4,821 total errors across all monitored services. While total error volume increased 12.4% compared to the prior period, the critical incident count declined 8.1%, and the overall resolution rate improved to 91%, demonstrating the effectiveness of ongoing dashboard-driven monitoring.</w:t>
      </w:r>
    </w:p>
    <w:p>
      <w:pPr>
        <w:spacing w:after="80"/>
      </w:pPr>
      <w:r>
        <w:t xml:space="preserve"/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2C3E7A"/>
          <w:sz w:val="18"/>
          <w:szCs w:val="18"/>
        </w:rPr>
        <w:t xml:space="preserve">KEY PERFORMANCE INDICATORS — 30-DAY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EF1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6B7A99"/>
                <w:sz w:val="16"/>
                <w:szCs w:val="16"/>
              </w:rPr>
              <w:t xml:space="preserve">Total Errors</w:t>
            </w:r>
          </w:p>
          <w:p>
            <w:r>
              <w:rPr>
                <w:rFonts w:ascii="Arial" w:cs="Arial" w:eastAsia="Arial" w:hAnsi="Arial"/>
                <w:b/>
                <w:bCs/>
                <w:color w:val="2C3E7A"/>
                <w:sz w:val="36"/>
                <w:szCs w:val="36"/>
              </w:rPr>
              <w:t xml:space="preserve">4,821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▲ 12.4% vs prior period</w:t>
            </w:r>
          </w:p>
        </w:tc>
        <w:tc>
          <w:tcPr>
            <w:tcW w:type="dxa" w:w="234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EF1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6B7A99"/>
                <w:sz w:val="16"/>
                <w:szCs w:val="16"/>
              </w:rPr>
              <w:t xml:space="preserve">Critical Incidents</w:t>
            </w:r>
          </w:p>
          <w:p>
            <w:r>
              <w:rPr>
                <w:rFonts w:ascii="Arial" w:cs="Arial" w:eastAsia="Arial" w:hAnsi="Arial"/>
                <w:b/>
                <w:bCs/>
                <w:color w:val="2C3E7A"/>
                <w:sz w:val="36"/>
                <w:szCs w:val="36"/>
              </w:rPr>
              <w:t xml:space="preserve">183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▼ 8.1% improvement</w:t>
            </w:r>
          </w:p>
        </w:tc>
        <w:tc>
          <w:tcPr>
            <w:tcW w:type="dxa" w:w="234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EF1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6B7A99"/>
                <w:sz w:val="16"/>
                <w:szCs w:val="16"/>
              </w:rPr>
              <w:t xml:space="preserve">MTTR (Average)</w:t>
            </w:r>
          </w:p>
          <w:p>
            <w:r>
              <w:rPr>
                <w:rFonts w:ascii="Arial" w:cs="Arial" w:eastAsia="Arial" w:hAnsi="Arial"/>
                <w:b/>
                <w:bCs/>
                <w:color w:val="2C3E7A"/>
                <w:sz w:val="36"/>
                <w:szCs w:val="36"/>
              </w:rPr>
              <w:t xml:space="preserve">2.4h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▼ 0.6h improvement</w:t>
            </w:r>
          </w:p>
        </w:tc>
        <w:tc>
          <w:tcPr>
            <w:tcW w:type="dxa" w:w="234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shd w:fill="EEF1F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6B7A99"/>
                <w:sz w:val="16"/>
                <w:szCs w:val="16"/>
              </w:rPr>
              <w:t xml:space="preserve">Resolution Rate</w:t>
            </w:r>
          </w:p>
          <w:p>
            <w:r>
              <w:rPr>
                <w:rFonts w:ascii="Arial" w:cs="Arial" w:eastAsia="Arial" w:hAnsi="Arial"/>
                <w:b/>
                <w:bCs/>
                <w:color w:val="2C3E7A"/>
                <w:sz w:val="36"/>
                <w:szCs w:val="36"/>
              </w:rPr>
              <w:t xml:space="preserve">91%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▲ +3pp improvement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and update the Error Management Tableau dashboard for data accuracy and operational stability.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 new dashboard views based on stakeholder user stories and ad-hoc monitoring requests.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calculated fields using Tableau's formula language to compute MTTR, rolling error rates, and severity ratios.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visually clear, filterable dashboards aligned with the needs of operations, platform, and executive stakeholders.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Collaborate with Error Management teams across Frankfurt, Singapore, Chicago, London, Dubai, and São Paulo.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 Dashboard Components</w:t>
      </w:r>
    </w:p>
    <w:p>
      <w:pPr>
        <w:pStyle w:val="Heading3"/>
      </w:pPr>
      <w:r>
        <w:t xml:space="preserve">3.1 Daily Error Trend (30-Day)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line chart displaying total daily errors alongside a secondary line for critical-only incidents. This view uses a Tableau WINDOW_SUM calculation with a rolling 7-day period to smooth daily volatility and highlight systemic trends vs. spikes.</w:t>
      </w:r>
    </w:p>
    <w:p>
      <w:pPr>
        <w:pStyle w:val="Heading3"/>
      </w:pPr>
      <w:r>
        <w:t xml:space="preserve">3.2 Error Category Breakdown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donut chart segmenting errors by category: Auth Errors (28%), Payment (22%), Pipeline (18%), API Timeout (14%), DB Errors (11%), and Other (7%). Enables rapid identification of the most impactful error types for engineering prioritization.</w:t>
      </w:r>
    </w:p>
    <w:p>
      <w:pPr>
        <w:pStyle w:val="Heading3"/>
      </w:pPr>
      <w:r>
        <w:t xml:space="preserve">3.3 Live Incident Log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tabular view of the most recent incidents displaying Incident ID, Timestamp, Affected System, Location, Severity, and Resolution Status. Color-coded severity tags (Critical, High, Medium) allow operators to triage at a glance.</w:t>
      </w:r>
    </w:p>
    <w:p>
      <w:pPr>
        <w:pStyle w:val="Heading3"/>
      </w:pPr>
      <w:r>
        <w:t xml:space="preserve">3.4 Errors by Location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horizontal bar chart comparing error volume across the six monitored locations. Frankfurt leads with 1,124 errors (23.3% of total), followed by Singapore (908), Chicago (741), London (628), Dubai (471), and São Paulo (349).</w:t>
      </w:r>
    </w:p>
    <w:p>
      <w:pPr>
        <w:pStyle w:val="Heading3"/>
      </w:pPr>
      <w:r>
        <w:t xml:space="preserve">3.5 Weekly Heatmap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4-week × 7-day heatmap showing error intensity by day of week, allowing the team to identify recurring peak days (typically Tuesdays through Thursdays) for proactive staffing and alerting adjustments.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 Dataset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Three datasets were extracted and used to power this dashboard: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 File</w:t>
            </w:r>
          </w:p>
        </w:tc>
        <w:tc>
          <w:tcPr>
            <w:tcW w:type="dxa" w:w="340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2C3E7A" w:sz="1"/>
              <w:left w:val="single" w:color="2C3E7A" w:sz="1"/>
              <w:bottom w:val="single" w:color="2C3E7A" w:sz="1"/>
              <w:right w:val="single" w:color="2C3E7A" w:sz="1"/>
            </w:tcBorders>
            <w:shd w:fill="2C3E7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Records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project1_daily_errors.csv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error counts by severity + MTTR</w:t>
            </w:r>
          </w:p>
        </w:tc>
        <w:tc>
          <w:tcPr>
            <w:tcW w:type="dxa" w:w="3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 rows (1 per day)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project1_incident_log.csv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Individual incident records with metadata</w:t>
            </w:r>
          </w:p>
        </w:tc>
        <w:tc>
          <w:tcPr>
            <w:tcW w:type="dxa" w:w="3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 incidents</w:t>
            </w:r>
          </w:p>
        </w:tc>
      </w:tr>
      <w:tr>
        <w:tc>
          <w:tcPr>
            <w:tcW w:type="dxa" w:w="28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project1_errors_by_location.csv</w:t>
            </w:r>
          </w:p>
        </w:tc>
        <w:tc>
          <w:tcPr>
            <w:tcW w:type="dxa" w:w="340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Aggregated 30-day totals per location</w:t>
            </w:r>
          </w:p>
        </w:tc>
        <w:tc>
          <w:tcPr>
            <w:tcW w:type="dxa" w:w="3160"/>
            <w:tcBorders>
              <w:top w:val="single" w:color="D0D5E8" w:sz="1"/>
              <w:left w:val="single" w:color="D0D5E8" w:sz="1"/>
              <w:bottom w:val="single" w:color="D0D5E8" w:sz="1"/>
              <w:right w:val="single" w:color="D0D5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locations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 Calculated Fields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Tableau calculated fields were implemented and optimized for this dashboard:</w:t>
      </w:r>
    </w:p>
    <w:p>
      <w:pPr>
        <w:pStyle w:val="Heading3"/>
      </w:pPr>
      <w:r>
        <w:t xml:space="preserve">5.1 Rolling 7-Day Error Rate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WINDOW_SUM({ FIXED [Date] : SUM([Error Count]) }, -6, 0) / WINDOW_SUM(SUM([Total Events]), -6, 0)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Uses a Level of Detail (LOD) expression combined with a window calculation to compute a smoothed 7-day rolling error rate.</w:t>
      </w:r>
    </w:p>
    <w:p>
      <w:pPr>
        <w:pStyle w:val="Heading3"/>
      </w:pPr>
      <w:r>
        <w:t xml:space="preserve">5.2 Mean Time to Resolution (MTTR)</w:t>
      </w:r>
    </w:p>
    <w:p>
      <w:pPr>
        <w:spacing w:after="12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DATEDIFF('hour', [Created Timestamp], IF [Status]='Resolved' THEN [Resolved Timestamp] ELSE NOW() END)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Handles both resolved and open incidents by conditionally substituting NOW() for open records to provide real-time elapsed time visibility.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 Key Findings &amp;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Frankfurt accounts for the highest error volume (23.3%) — recommend dedicated monitoring sub-dashboard for the EU region.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Critical incidents declined 8.1% despite total volume growth, suggesting improving system stability at the highest severity tier.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Wednesday and Thursday consistently show peak error rates across all locations — proactive capacity scaling recommended for mid-week.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MTTR improved from 3.0h to 2.4h over the period, driven partly by calculated field optimizations that surfaced stale incidents faster.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Payment Gateway and Auth Service errors represent 50% of all incidents — these systems should be prioritized in Q2 stability work.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Report generated: March 12, 2026   |   Next review: April 1,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3E7A" w:sz="4" w:space="1"/>
      </w:pBdr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Analytics Team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7A" w:sz="4" w:space="1"/>
      </w:pBdr>
      <w:spacing w:after="0"/>
    </w:pPr>
    <w:r>
      <w:rPr>
        <w:rFonts w:ascii="Arial" w:cs="Arial" w:eastAsia="Arial" w:hAnsi="Arial"/>
        <w:b/>
        <w:bCs/>
        <w:color w:val="2C3E7A"/>
        <w:sz w:val="18"/>
        <w:szCs w:val="18"/>
      </w:rPr>
      <w:t xml:space="preserve">Project 1: Error Management Dashboard  |  </w:t>
    </w:r>
    <w:r>
      <w:rPr>
        <w:rFonts w:ascii="Arial" w:cs="Arial" w:eastAsia="Arial" w:hAnsi="Arial"/>
        <w:color w:val="888888"/>
        <w:sz w:val="16"/>
        <w:szCs w:val="16"/>
      </w:rPr>
      <w:t xml:space="preserve">Tableau Analytics Report — Q1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7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5A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2026-03-12T14:14:53.596Z</dcterms:created>
  <dcterms:modified xsi:type="dcterms:W3CDTF">2026-03-12T14:14:53.597Z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