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C9184A"/>
          <w:sz w:val="20"/>
          <w:szCs w:val="20"/>
        </w:rPr>
        <w:t xml:space="preserve">PROJECT 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KPI &amp; Stakeholder Performance Dashboard</w:t>
      </w:r>
    </w:p>
    <w:p>
      <w:pPr>
        <w:spacing w:after="60"/>
      </w:pPr>
      <w:r>
        <w:rPr>
          <w:rFonts w:ascii="Arial" w:cs="Arial" w:eastAsia="Arial" w:hAnsi="Arial"/>
          <w:color w:val="6B7A99"/>
          <w:sz w:val="24"/>
          <w:szCs w:val="24"/>
        </w:rPr>
        <w:t xml:space="preserve">Tableau Data Analysis Report — Q1 2026</w:t>
      </w:r>
    </w:p>
    <w:p>
      <w:pPr>
        <w:spacing w:after="40"/>
      </w:pPr>
      <w:r>
        <w:rPr>
          <w:rFonts w:ascii="Arial" w:cs="Arial" w:eastAsia="Arial" w:hAnsi="Arial"/>
          <w:color w:val="6B7A99"/>
          <w:sz w:val="20"/>
          <w:szCs w:val="20"/>
        </w:rPr>
        <w:t xml:space="preserve">Owner: BI Analytics Team   |   Period: October 2025 – March 2026   |   User Stories: 15</w:t>
      </w:r>
    </w:p>
    <w:p>
      <w:pPr>
        <w:pBdr>
          <w:bottom w:val="single" w:color="C9184A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covers the KPI &amp; Stakeholder Performance Dashboard (Project 2), which provides a consolidated view of analytics delivery metrics, user story completion rates, ad-hoc request turnaround times, and calculated field performance improvements. The dashboard was developed to give stakeholders at all levels — from operational teams to executives — a transparent view of the Analytics team's output quality and responsiveness.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of Q1 2026, the team has achieved a 97% dashboard delivery rate (target: 95%), reduced ad-hoc turnaround time from 58 hours to 36 hours, and exceeded the calculated field optimization target by 8 percentage points. Stakeholder CSAT reached 4.7/5.0 — the highest recorded score.</w:t>
      </w:r>
    </w:p>
    <w:p>
      <w:pPr>
        <w:spacing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C3E7A"/>
          <w:sz w:val="18"/>
          <w:szCs w:val="18"/>
        </w:rPr>
        <w:t xml:space="preserve">Q1 2026 KPI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Revenue Impact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$8.2M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▲ 14% YoY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Active Dashboards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62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+8 added in March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Stories Completed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93%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 stories in backlog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Stakeholder CSAT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4.7/5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Highest recorded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new Tableau dashboards based on 15 user stories and 7 ad-hoc stakeholder requests submitted in Q1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and update existing dashboards to ensure data accuracy SLA compliance above 99.5%.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and optimize Tableau calculated fields — targeting a 20% performance improvement on slow-loading 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quarterly scorecard dashboard with RAG status indicators aligned to executive stakeholder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and reduce ad-hoc request turnaround time to under 48 hours across all request types.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Quarterly Performance Scorecard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table summarizes actual versus target performance for key delivery metrics tracked in the Tableau scorecard dashboard: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Delivery Rate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On Track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Accuracy SLA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99.2%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Watch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Resolution SLA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At Risk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Ad-Hoc Turnaround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hours</w:t>
            </w:r>
          </w:p>
        </w:tc>
        <w:tc>
          <w:tcPr>
            <w:tcW w:type="dxa" w:w="2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On Track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 Field Optimization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28%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⭐ Exceeded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 User Story Pipeline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15 user stories were logged in Q1 2026. Of these, 10 have been completed, 3 are currently in progress, and 2 are blocked pending infrastructure approvals. The average turnaround time for completed stories was 46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1500"/>
        <w:gridCol w:w="1500"/>
        <w:gridCol w:w="186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US-001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 segment error breakdown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 Analytics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US-002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MTTR calculated field v2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Eng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US-003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 drill-through filters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Team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US-004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Auto-refresh pipeline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US-005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Stakeholder export to PDF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 Analytics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US-009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Executive summary dashboard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Ad-Hoc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 Analytics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US-012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Quarterly scorecard refresh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 Calculated Fields Implemented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Tableau calculated fields were developed and deployed in Q1 2026 as part of dashboard optimization work:</w:t>
      </w:r>
    </w:p>
    <w:p>
      <w:pPr>
        <w:pStyle w:val="Heading3"/>
      </w:pPr>
      <w:r>
        <w:t xml:space="preserve">5.1 Rolling 7-Day Error Rate (LOD + Window)</w:t>
      </w:r>
    </w:p>
    <w:p>
      <w:pPr>
        <w:spacing w:after="100"/>
      </w:pPr>
      <w:r>
        <w:rPr>
          <w:rFonts w:ascii="Courier New" w:cs="Courier New" w:eastAsia="Courier New" w:hAnsi="Courier New"/>
          <w:color w:val="C9184A"/>
          <w:sz w:val="18"/>
          <w:szCs w:val="18"/>
        </w:rPr>
        <w:t xml:space="preserve">WINDOW_SUM({ FIXED [Date] : SUM([Error Count]) }, -6, 0) / WINDOW_SUM(SUM([Total Events]), -6, 0)</w:t>
      </w:r>
    </w:p>
    <w:p>
      <w:pPr>
        <w:pStyle w:val="Heading3"/>
      </w:pPr>
      <w:r>
        <w:t xml:space="preserve">5.2 MTTR Calculation with Open Incident Handling</w:t>
      </w:r>
    </w:p>
    <w:p>
      <w:pPr>
        <w:spacing w:after="100"/>
      </w:pPr>
      <w:r>
        <w:rPr>
          <w:rFonts w:ascii="Courier New" w:cs="Courier New" w:eastAsia="Courier New" w:hAnsi="Courier New"/>
          <w:color w:val="C9184A"/>
          <w:sz w:val="18"/>
          <w:szCs w:val="18"/>
        </w:rPr>
        <w:t xml:space="preserve">DATEDIFF('hour', [Created Timestamp], IF [Status]='Resolved' THEN [Resolved Timestamp] ELSE NOW() END)</w:t>
      </w:r>
    </w:p>
    <w:p>
      <w:pPr>
        <w:pStyle w:val="Heading3"/>
      </w:pPr>
      <w:r>
        <w:t xml:space="preserve">5.3 Weighted Severity Score</w:t>
      </w:r>
    </w:p>
    <w:p>
      <w:pPr>
        <w:spacing w:after="100"/>
      </w:pPr>
      <w:r>
        <w:rPr>
          <w:rFonts w:ascii="Courier New" w:cs="Courier New" w:eastAsia="Courier New" w:hAnsi="Courier New"/>
          <w:color w:val="C9184A"/>
          <w:sz w:val="18"/>
          <w:szCs w:val="18"/>
        </w:rPr>
        <w:t xml:space="preserve">([Critical]*4 + [High]*3 + [Medium]*2 + [Low]*1) / [Total Errors]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File</w:t>
            </w:r>
          </w:p>
        </w:tc>
        <w:tc>
          <w:tcPr>
            <w:tcW w:type="dxa" w:w="35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project2_kpi_scorecard.csv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targets vs actuals with RAG status</w:t>
            </w:r>
          </w:p>
        </w:tc>
        <w:tc>
          <w:tcPr>
            <w:tcW w:type="dxa" w:w="30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metrics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project2_user_stories.csv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user story tracker with teams &amp; timelines</w:t>
            </w:r>
          </w:p>
        </w:tc>
        <w:tc>
          <w:tcPr>
            <w:tcW w:type="dxa" w:w="30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stories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project2_monthly_kpi_trend.csv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6-month KPI trend (Oct 2025 – Mar 2026)</w:t>
            </w:r>
          </w:p>
        </w:tc>
        <w:tc>
          <w:tcPr>
            <w:tcW w:type="dxa" w:w="30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months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Resolution SLA is the only at-risk metric. Recommend a dedicated sprint to improve incident routing and escalation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Accuracy SLA at 99.2% is slightly below the 99.5% target — schedule a LOD expression audit for the top 10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two blocked user stories (US-004, US-015) require infrastructure team sign-off; escalate to CTO for prioritization.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CSAT at 4.7/5.0, stakeholder engagement is strong — continue quarterly roadmap alignment sessions.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Report generated: March 12, 2026   |   Next review: April 1,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7A" w:sz="4" w:space="1"/>
      </w:pBdr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Analytics Team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7A" w:sz="4" w:space="1"/>
      </w:pBdr>
      <w:spacing w:after="0"/>
    </w:pPr>
    <w:r>
      <w:rPr>
        <w:rFonts w:ascii="Arial" w:cs="Arial" w:eastAsia="Arial" w:hAnsi="Arial"/>
        <w:b/>
        <w:bCs/>
        <w:color w:val="2C3E7A"/>
        <w:sz w:val="18"/>
        <w:szCs w:val="18"/>
      </w:rPr>
      <w:t xml:space="preserve">Project 2: KPI &amp; Stakeholder Dashboard  |  </w:t>
    </w:r>
    <w:r>
      <w:rPr>
        <w:rFonts w:ascii="Arial" w:cs="Arial" w:eastAsia="Arial" w:hAnsi="Arial"/>
        <w:color w:val="888888"/>
        <w:sz w:val="16"/>
        <w:szCs w:val="16"/>
      </w:rPr>
      <w:t xml:space="preserve">Tableau Analytics Report — Q1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7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2026-03-12T14:14:53.782Z</dcterms:created>
  <dcterms:modified xsi:type="dcterms:W3CDTF">2026-03-12T14:14:53.782Z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