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00B4A0"/>
          <w:sz w:val="20"/>
          <w:szCs w:val="20"/>
        </w:rPr>
        <w:t xml:space="preserve">PROJECT 3</w:t>
      </w:r>
    </w:p>
    <w:p>
      <w:pPr>
        <w:spacing w:after="100"/>
      </w:pPr>
      <w:r>
        <w:rPr>
          <w:rFonts w:ascii="Arial" w:cs="Arial" w:eastAsia="Arial" w:hAnsi="Arial"/>
          <w:b/>
          <w:bCs/>
          <w:color w:val="1A1A2E"/>
          <w:sz w:val="52"/>
          <w:szCs w:val="52"/>
        </w:rPr>
        <w:t xml:space="preserve">Global Operations Dashboard</w:t>
      </w:r>
    </w:p>
    <w:p>
      <w:pPr>
        <w:spacing w:after="60"/>
      </w:pPr>
      <w:r>
        <w:rPr>
          <w:rFonts w:ascii="Arial" w:cs="Arial" w:eastAsia="Arial" w:hAnsi="Arial"/>
          <w:color w:val="6B7A99"/>
          <w:sz w:val="24"/>
          <w:szCs w:val="24"/>
        </w:rPr>
        <w:t xml:space="preserve">Tableau Multi-Location Data Analysis Report — Q1 2026</w:t>
      </w:r>
    </w:p>
    <w:p>
      <w:pPr>
        <w:spacing w:after="40"/>
      </w:pPr>
      <w:r>
        <w:rPr>
          <w:rFonts w:ascii="Arial" w:cs="Arial" w:eastAsia="Arial" w:hAnsi="Arial"/>
          <w:color w:val="6B7A99"/>
          <w:sz w:val="20"/>
          <w:szCs w:val="20"/>
        </w:rPr>
        <w:t xml:space="preserve">Owner: Global Analytics Team   |   Locations: 6   |   Regions: EU, APAC, Americas, MEA</w:t>
      </w:r>
    </w:p>
    <w:p>
      <w:pPr>
        <w:pBdr>
          <w:bottom w:val="single" w:color="00B4A0" w:sz="6" w:space="1"/>
        </w:pBdr>
        <w:spacing w:after="200"/>
      </w:pPr>
      <w:r>
        <w:t xml:space="preserve"/>
      </w:r>
    </w:p>
    <w:p>
      <w:pPr>
        <w:pStyle w:val="Heading1"/>
      </w:pPr>
      <w:r>
        <w:t xml:space="preserve">1. Executive Summary</w:t>
      </w:r>
    </w:p>
    <w:p>
      <w:pPr>
        <w:spacing w:after="160"/>
      </w:pPr>
      <w:r>
        <w:rPr>
          <w:rFonts w:ascii="Arial" w:cs="Arial" w:eastAsia="Arial" w:hAnsi="Arial"/>
          <w:sz w:val="22"/>
          <w:szCs w:val="22"/>
        </w:rPr>
        <w:t xml:space="preserve">This report documents the design and analytical findings of the Global Operations Tableau Dashboard (Project 3). The dashboard was built to give a unified, real-time view of error management performance, dashboard health, and team activity across six international locations: Frankfurt (EU), Singapore (APAC), Chicago (Americas), London (EU), Dubai (MEA), and São Paulo (Americas).</w:t>
      </w:r>
    </w:p>
    <w:p>
      <w:pPr>
        <w:spacing w:after="160"/>
      </w:pPr>
      <w:r>
        <w:rPr>
          <w:rFonts w:ascii="Arial" w:cs="Arial" w:eastAsia="Arial" w:hAnsi="Arial"/>
          <w:sz w:val="22"/>
          <w:szCs w:val="22"/>
        </w:rPr>
        <w:t xml:space="preserve">As of March 12, 2026, global system uptime stands at 99.7%, with 34 open errors across all locations (down from 52 the prior day). The dashboard health radar shows strong performance in Stability (95) and Accuracy (92), with Coverage (76) identified as the primary area for Q2 improvement.</w:t>
      </w:r>
    </w:p>
    <w:p>
      <w:pPr>
        <w:spacing w:after="80"/>
      </w:pPr>
      <w:r>
        <w:t xml:space="preserve"/>
      </w:r>
    </w:p>
    <w:p>
      <w:pPr>
        <w:spacing w:before="300" w:after="100"/>
      </w:pPr>
      <w:r>
        <w:rPr>
          <w:rFonts w:ascii="Arial" w:cs="Arial" w:eastAsia="Arial" w:hAnsi="Arial"/>
          <w:b/>
          <w:bCs/>
          <w:color w:val="2C3E7A"/>
          <w:sz w:val="18"/>
          <w:szCs w:val="18"/>
        </w:rPr>
        <w:t xml:space="preserve">REAL-TIME GLOBAL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E8" w:sz="1"/>
              <w:left w:val="single" w:color="D0D5E8" w:sz="1"/>
              <w:bottom w:val="single" w:color="D0D5E8" w:sz="1"/>
              <w:right w:val="single" w:color="D0D5E8" w:sz="1"/>
            </w:tcBorders>
            <w:shd w:fill="EEF1FA" w:val="clear"/>
            <w:tcMar>
              <w:top w:type="dxa" w:w="120"/>
              <w:left w:type="dxa" w:w="150"/>
              <w:bottom w:type="dxa" w:w="120"/>
              <w:right w:type="dxa" w:w="150"/>
            </w:tcMar>
          </w:tcPr>
          <w:p>
            <w:r>
              <w:rPr>
                <w:rFonts w:ascii="Arial" w:cs="Arial" w:eastAsia="Arial" w:hAnsi="Arial"/>
                <w:color w:val="6B7A99"/>
                <w:sz w:val="16"/>
                <w:szCs w:val="16"/>
              </w:rPr>
              <w:t xml:space="preserve">Global Uptime</w:t>
            </w:r>
          </w:p>
          <w:p>
            <w:r>
              <w:rPr>
                <w:rFonts w:ascii="Arial" w:cs="Arial" w:eastAsia="Arial" w:hAnsi="Arial"/>
                <w:b/>
                <w:bCs/>
                <w:color w:val="2C3E7A"/>
                <w:sz w:val="36"/>
                <w:szCs w:val="36"/>
              </w:rPr>
              <w:t xml:space="preserve">99.7%</w:t>
            </w:r>
          </w:p>
          <w:p>
            <w:r>
              <w:rPr>
                <w:rFonts w:ascii="Arial" w:cs="Arial" w:eastAsia="Arial" w:hAnsi="Arial"/>
                <w:color w:val="888888"/>
                <w:sz w:val="16"/>
                <w:szCs w:val="16"/>
              </w:rPr>
              <w:t xml:space="preserve">▲ +0.2% from last month</w:t>
            </w:r>
          </w:p>
        </w:tc>
        <w:tc>
          <w:tcPr>
            <w:tcW w:type="dxa" w:w="2340"/>
            <w:tcBorders>
              <w:top w:val="single" w:color="D0D5E8" w:sz="1"/>
              <w:left w:val="single" w:color="D0D5E8" w:sz="1"/>
              <w:bottom w:val="single" w:color="D0D5E8" w:sz="1"/>
              <w:right w:val="single" w:color="D0D5E8" w:sz="1"/>
            </w:tcBorders>
            <w:shd w:fill="EEF1FA" w:val="clear"/>
            <w:tcMar>
              <w:top w:type="dxa" w:w="120"/>
              <w:left w:type="dxa" w:w="150"/>
              <w:bottom w:type="dxa" w:w="120"/>
              <w:right w:type="dxa" w:w="150"/>
            </w:tcMar>
          </w:tcPr>
          <w:p>
            <w:r>
              <w:rPr>
                <w:rFonts w:ascii="Arial" w:cs="Arial" w:eastAsia="Arial" w:hAnsi="Arial"/>
                <w:color w:val="6B7A99"/>
                <w:sz w:val="16"/>
                <w:szCs w:val="16"/>
              </w:rPr>
              <w:t xml:space="preserve">Active Dashboards</w:t>
            </w:r>
          </w:p>
          <w:p>
            <w:r>
              <w:rPr>
                <w:rFonts w:ascii="Arial" w:cs="Arial" w:eastAsia="Arial" w:hAnsi="Arial"/>
                <w:b/>
                <w:bCs/>
                <w:color w:val="2C3E7A"/>
                <w:sz w:val="36"/>
                <w:szCs w:val="36"/>
              </w:rPr>
              <w:t xml:space="preserve">62</w:t>
            </w:r>
          </w:p>
          <w:p>
            <w:r>
              <w:rPr>
                <w:rFonts w:ascii="Arial" w:cs="Arial" w:eastAsia="Arial" w:hAnsi="Arial"/>
                <w:color w:val="888888"/>
                <w:sz w:val="16"/>
                <w:szCs w:val="16"/>
              </w:rPr>
              <w:t xml:space="preserve">Across 6 regions</w:t>
            </w:r>
          </w:p>
        </w:tc>
        <w:tc>
          <w:tcPr>
            <w:tcW w:type="dxa" w:w="2340"/>
            <w:tcBorders>
              <w:top w:val="single" w:color="D0D5E8" w:sz="1"/>
              <w:left w:val="single" w:color="D0D5E8" w:sz="1"/>
              <w:bottom w:val="single" w:color="D0D5E8" w:sz="1"/>
              <w:right w:val="single" w:color="D0D5E8" w:sz="1"/>
            </w:tcBorders>
            <w:shd w:fill="EEF1FA" w:val="clear"/>
            <w:tcMar>
              <w:top w:type="dxa" w:w="120"/>
              <w:left w:type="dxa" w:w="150"/>
              <w:bottom w:type="dxa" w:w="120"/>
              <w:right w:type="dxa" w:w="150"/>
            </w:tcMar>
          </w:tcPr>
          <w:p>
            <w:r>
              <w:rPr>
                <w:rFonts w:ascii="Arial" w:cs="Arial" w:eastAsia="Arial" w:hAnsi="Arial"/>
                <w:color w:val="6B7A99"/>
                <w:sz w:val="16"/>
                <w:szCs w:val="16"/>
              </w:rPr>
              <w:t xml:space="preserve">Open Errors</w:t>
            </w:r>
          </w:p>
          <w:p>
            <w:r>
              <w:rPr>
                <w:rFonts w:ascii="Arial" w:cs="Arial" w:eastAsia="Arial" w:hAnsi="Arial"/>
                <w:b/>
                <w:bCs/>
                <w:color w:val="2C3E7A"/>
                <w:sz w:val="36"/>
                <w:szCs w:val="36"/>
              </w:rPr>
              <w:t xml:space="preserve">34</w:t>
            </w:r>
          </w:p>
          <w:p>
            <w:r>
              <w:rPr>
                <w:rFonts w:ascii="Arial" w:cs="Arial" w:eastAsia="Arial" w:hAnsi="Arial"/>
                <w:color w:val="888888"/>
                <w:sz w:val="16"/>
                <w:szCs w:val="16"/>
              </w:rPr>
              <w:t xml:space="preserve">↓ 18 from yesterday</w:t>
            </w:r>
          </w:p>
        </w:tc>
        <w:tc>
          <w:tcPr>
            <w:tcW w:type="dxa" w:w="2340"/>
            <w:tcBorders>
              <w:top w:val="single" w:color="D0D5E8" w:sz="1"/>
              <w:left w:val="single" w:color="D0D5E8" w:sz="1"/>
              <w:bottom w:val="single" w:color="D0D5E8" w:sz="1"/>
              <w:right w:val="single" w:color="D0D5E8" w:sz="1"/>
            </w:tcBorders>
            <w:shd w:fill="EEF1FA" w:val="clear"/>
            <w:tcMar>
              <w:top w:type="dxa" w:w="120"/>
              <w:left w:type="dxa" w:w="150"/>
              <w:bottom w:type="dxa" w:w="120"/>
              <w:right w:type="dxa" w:w="150"/>
            </w:tcMar>
          </w:tcPr>
          <w:p>
            <w:r>
              <w:rPr>
                <w:rFonts w:ascii="Arial" w:cs="Arial" w:eastAsia="Arial" w:hAnsi="Arial"/>
                <w:color w:val="6B7A99"/>
                <w:sz w:val="16"/>
                <w:szCs w:val="16"/>
              </w:rPr>
              <w:t xml:space="preserve">Avg Response (ms)</w:t>
            </w:r>
          </w:p>
          <w:p>
            <w:r>
              <w:rPr>
                <w:rFonts w:ascii="Arial" w:cs="Arial" w:eastAsia="Arial" w:hAnsi="Arial"/>
                <w:b/>
                <w:bCs/>
                <w:color w:val="2C3E7A"/>
                <w:sz w:val="36"/>
                <w:szCs w:val="36"/>
              </w:rPr>
              <w:t xml:space="preserve">142ms</w:t>
            </w:r>
          </w:p>
          <w:p>
            <w:r>
              <w:rPr>
                <w:rFonts w:ascii="Arial" w:cs="Arial" w:eastAsia="Arial" w:hAnsi="Arial"/>
                <w:color w:val="888888"/>
                <w:sz w:val="16"/>
                <w:szCs w:val="16"/>
              </w:rPr>
              <w:t xml:space="preserve">↓ optimized -28ms</w:t>
            </w:r>
          </w:p>
        </w:tc>
      </w:tr>
    </w:tbl>
    <w:p>
      <w:pPr>
        <w:spacing w:after="80"/>
      </w:pPr>
      <w:r>
        <w:t xml:space="preserve"/>
      </w:r>
    </w:p>
    <w:p>
      <w:pPr>
        <w:pStyle w:val="Heading2"/>
      </w:pPr>
      <w:r>
        <w:t xml:space="preserve">2. Project Objectives</w:t>
      </w:r>
    </w:p>
    <w:p>
      <w:pPr>
        <w:pStyle w:val="ListParagraph"/>
        <w:numPr>
          <w:ilvl w:val="0"/>
          <w:numId w:val="2"/>
        </w:numPr>
        <w:spacing w:after="80"/>
      </w:pPr>
      <w:r>
        <w:rPr>
          <w:rFonts w:ascii="Arial" w:cs="Arial" w:eastAsia="Arial" w:hAnsi="Arial"/>
          <w:sz w:val="22"/>
          <w:szCs w:val="22"/>
        </w:rPr>
        <w:t xml:space="preserve">Build and maintain a consolidated global operations Tableau dashboard updated in near-real-time.</w:t>
      </w:r>
    </w:p>
    <w:p>
      <w:pPr>
        <w:pStyle w:val="ListParagraph"/>
        <w:numPr>
          <w:ilvl w:val="0"/>
          <w:numId w:val="2"/>
        </w:numPr>
        <w:spacing w:after="80"/>
      </w:pPr>
      <w:r>
        <w:rPr>
          <w:rFonts w:ascii="Arial" w:cs="Arial" w:eastAsia="Arial" w:hAnsi="Arial"/>
          <w:sz w:val="22"/>
          <w:szCs w:val="22"/>
        </w:rPr>
        <w:t xml:space="preserve">Enable cross-location error comparison with drill-through capabilities per region and system.</w:t>
      </w:r>
    </w:p>
    <w:p>
      <w:pPr>
        <w:pStyle w:val="ListParagraph"/>
        <w:numPr>
          <w:ilvl w:val="0"/>
          <w:numId w:val="2"/>
        </w:numPr>
        <w:spacing w:after="80"/>
      </w:pPr>
      <w:r>
        <w:rPr>
          <w:rFonts w:ascii="Arial" w:cs="Arial" w:eastAsia="Arial" w:hAnsi="Arial"/>
          <w:sz w:val="22"/>
          <w:szCs w:val="22"/>
        </w:rPr>
        <w:t xml:space="preserve">Implement a dashboard health radar showing Accuracy, Performance, Coverage, Stability, Adoption, and Freshness scores.</w:t>
      </w:r>
    </w:p>
    <w:p>
      <w:pPr>
        <w:pStyle w:val="ListParagraph"/>
        <w:numPr>
          <w:ilvl w:val="0"/>
          <w:numId w:val="2"/>
        </w:numPr>
        <w:spacing w:after="80"/>
      </w:pPr>
      <w:r>
        <w:rPr>
          <w:rFonts w:ascii="Arial" w:cs="Arial" w:eastAsia="Arial" w:hAnsi="Arial"/>
          <w:sz w:val="22"/>
          <w:szCs w:val="22"/>
        </w:rPr>
        <w:t xml:space="preserve">Provide a collaborative user story tracker visible to all six regional teams and their stakeholders.</w:t>
      </w:r>
    </w:p>
    <w:p>
      <w:pPr>
        <w:pStyle w:val="ListParagraph"/>
        <w:numPr>
          <w:ilvl w:val="0"/>
          <w:numId w:val="2"/>
        </w:numPr>
        <w:spacing w:after="80"/>
      </w:pPr>
      <w:r>
        <w:rPr>
          <w:rFonts w:ascii="Arial" w:cs="Arial" w:eastAsia="Arial" w:hAnsi="Arial"/>
          <w:sz w:val="22"/>
          <w:szCs w:val="22"/>
        </w:rPr>
        <w:t xml:space="preserve">Support Error Management teams across multiple time zones through an activity feed and shared incident timeline.</w:t>
      </w:r>
    </w:p>
    <w:p>
      <w:pPr>
        <w:spacing w:after="80"/>
      </w:pPr>
      <w:r>
        <w:t xml:space="preserve"/>
      </w:r>
    </w:p>
    <w:p>
      <w:pPr>
        <w:pStyle w:val="Heading2"/>
      </w:pPr>
      <w:r>
        <w:t xml:space="preserve">3. Location-by-Location Status</w:t>
      </w:r>
    </w:p>
    <w:p>
      <w:pPr>
        <w:spacing w:after="160"/>
      </w:pPr>
      <w:r>
        <w:rPr>
          <w:rFonts w:ascii="Arial" w:cs="Arial" w:eastAsia="Arial" w:hAnsi="Arial"/>
          <w:sz w:val="22"/>
          <w:szCs w:val="22"/>
        </w:rPr>
        <w:t xml:space="preserve">The table below summarizes the operational status of all six monitored locations as of the report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1000"/>
        <w:gridCol w:w="1200"/>
        <w:gridCol w:w="1300"/>
        <w:gridCol w:w="1260"/>
        <w:gridCol w:w="900"/>
      </w:tblGrid>
      <w:tr>
        <w:tc>
          <w:tcPr>
            <w:tcW w:type="dxa" w:w="15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10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Region</w:t>
            </w:r>
          </w:p>
        </w:tc>
        <w:tc>
          <w:tcPr>
            <w:tcW w:type="dxa" w:w="12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Timezone</w:t>
            </w:r>
          </w:p>
        </w:tc>
        <w:tc>
          <w:tcPr>
            <w:tcW w:type="dxa" w:w="10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Open Errors</w:t>
            </w:r>
          </w:p>
        </w:tc>
        <w:tc>
          <w:tcPr>
            <w:tcW w:type="dxa" w:w="12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Uptime %</w:t>
            </w:r>
          </w:p>
        </w:tc>
        <w:tc>
          <w:tcPr>
            <w:tcW w:type="dxa" w:w="13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Dashboards</w:t>
            </w:r>
          </w:p>
        </w:tc>
        <w:tc>
          <w:tcPr>
            <w:tcW w:type="dxa" w:w="126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 (ms)</w:t>
            </w:r>
          </w:p>
        </w:tc>
        <w:tc>
          <w:tcPr>
            <w:tcW w:type="dxa" w:w="9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Health</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Frankfurt</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EU</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CET</w:t>
            </w:r>
          </w:p>
        </w:tc>
        <w:tc>
          <w:tcPr>
            <w:tcW w:type="dxa" w:w="1000"/>
            <w:tcBorders>
              <w:top w:val="single" w:color="D0D5E8" w:sz="1"/>
              <w:left w:val="single" w:color="D0D5E8" w:sz="1"/>
              <w:bottom w:val="single" w:color="D0D5E8" w:sz="1"/>
              <w:right w:val="single" w:color="D0D5E8"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99.4%</w:t>
            </w:r>
          </w:p>
        </w:tc>
        <w:tc>
          <w:tcPr>
            <w:tcW w:type="dxa" w:w="13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148</w:t>
            </w:r>
          </w:p>
        </w:tc>
        <w:tc>
          <w:tcPr>
            <w:tcW w:type="dxa" w:w="9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88</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Singapore</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APAC</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SGT</w:t>
            </w:r>
          </w:p>
        </w:tc>
        <w:tc>
          <w:tcPr>
            <w:tcW w:type="dxa" w:w="1000"/>
            <w:tcBorders>
              <w:top w:val="single" w:color="D0D5E8" w:sz="1"/>
              <w:left w:val="single" w:color="D0D5E8" w:sz="1"/>
              <w:bottom w:val="single" w:color="D0D5E8" w:sz="1"/>
              <w:right w:val="single" w:color="D0D5E8" w:sz="1"/>
            </w:tcBorders>
            <w:shd w:fill="FFFBE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99.7%</w:t>
            </w:r>
          </w:p>
        </w:tc>
        <w:tc>
          <w:tcPr>
            <w:tcW w:type="dxa" w:w="13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138</w:t>
            </w:r>
          </w:p>
        </w:tc>
        <w:tc>
          <w:tcPr>
            <w:tcW w:type="dxa" w:w="9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Chicago</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Americas</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CST</w:t>
            </w:r>
          </w:p>
        </w:tc>
        <w:tc>
          <w:tcPr>
            <w:tcW w:type="dxa" w:w="100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99.9%</w:t>
            </w:r>
          </w:p>
        </w:tc>
        <w:tc>
          <w:tcPr>
            <w:tcW w:type="dxa" w:w="13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132</w:t>
            </w:r>
          </w:p>
        </w:tc>
        <w:tc>
          <w:tcPr>
            <w:tcW w:type="dxa" w:w="9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96</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London</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EU</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GMT</w:t>
            </w:r>
          </w:p>
        </w:tc>
        <w:tc>
          <w:tcPr>
            <w:tcW w:type="dxa" w:w="100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99.8%</w:t>
            </w:r>
          </w:p>
        </w:tc>
        <w:tc>
          <w:tcPr>
            <w:tcW w:type="dxa" w:w="13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141</w:t>
            </w:r>
          </w:p>
        </w:tc>
        <w:tc>
          <w:tcPr>
            <w:tcW w:type="dxa" w:w="9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94</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Dubai</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MEA</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GST</w:t>
            </w:r>
          </w:p>
        </w:tc>
        <w:tc>
          <w:tcPr>
            <w:tcW w:type="dxa" w:w="1000"/>
            <w:tcBorders>
              <w:top w:val="single" w:color="D0D5E8" w:sz="1"/>
              <w:left w:val="single" w:color="D0D5E8" w:sz="1"/>
              <w:bottom w:val="single" w:color="D0D5E8" w:sz="1"/>
              <w:right w:val="single" w:color="D0D5E8" w:sz="1"/>
            </w:tcBorders>
            <w:shd w:fill="FFFBE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99.6%</w:t>
            </w:r>
          </w:p>
        </w:tc>
        <w:tc>
          <w:tcPr>
            <w:tcW w:type="dxa" w:w="13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155</w:t>
            </w:r>
          </w:p>
        </w:tc>
        <w:tc>
          <w:tcPr>
            <w:tcW w:type="dxa" w:w="9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São Paulo</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Americas</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BRT</w:t>
            </w:r>
          </w:p>
        </w:tc>
        <w:tc>
          <w:tcPr>
            <w:tcW w:type="dxa" w:w="100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99.9%</w:t>
            </w:r>
          </w:p>
        </w:tc>
        <w:tc>
          <w:tcPr>
            <w:tcW w:type="dxa" w:w="13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128</w:t>
            </w:r>
          </w:p>
        </w:tc>
        <w:tc>
          <w:tcPr>
            <w:tcW w:type="dxa" w:w="9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97</w:t>
            </w:r>
          </w:p>
        </w:tc>
      </w:tr>
    </w:tbl>
    <w:p>
      <w:pPr>
        <w:spacing w:after="80"/>
      </w:pPr>
      <w:r>
        <w:t xml:space="preserve"/>
      </w:r>
    </w:p>
    <w:p>
      <w:pPr>
        <w:pStyle w:val="Heading2"/>
      </w:pPr>
      <w:r>
        <w:t xml:space="preserve">4. Dashboard Health Radar Analysis</w:t>
      </w:r>
    </w:p>
    <w:p>
      <w:pPr>
        <w:spacing w:after="160"/>
      </w:pPr>
      <w:r>
        <w:rPr>
          <w:rFonts w:ascii="Arial" w:cs="Arial" w:eastAsia="Arial" w:hAnsi="Arial"/>
          <w:sz w:val="22"/>
          <w:szCs w:val="22"/>
        </w:rPr>
        <w:t xml:space="preserve">The radar chart in the dashboard visualizes six dimensions of dashboard health, comparing current scores against targets. Scores are calculated using a composite of data pipeline metrics, user engagement data, and QA audit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15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Score</w:t>
            </w:r>
          </w:p>
        </w:tc>
        <w:tc>
          <w:tcPr>
            <w:tcW w:type="dxa" w:w="15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Score</w:t>
            </w:r>
          </w:p>
        </w:tc>
        <w:tc>
          <w:tcPr>
            <w:tcW w:type="dxa" w:w="436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Accuracy</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92</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95</w:t>
            </w:r>
          </w:p>
        </w:tc>
        <w:tc>
          <w:tcPr>
            <w:tcW w:type="dxa" w:w="43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 correctness &amp; validation rate</w:t>
            </w:r>
          </w:p>
        </w:tc>
      </w:tr>
      <w:tr>
        <w:tc>
          <w:tcPr>
            <w:tcW w:type="dxa" w:w="2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88</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w:t>
            </w:r>
          </w:p>
        </w:tc>
        <w:tc>
          <w:tcPr>
            <w:tcW w:type="dxa" w:w="43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Avg load time and query execution speed</w:t>
            </w:r>
          </w:p>
        </w:tc>
      </w:tr>
      <w:tr>
        <w:tc>
          <w:tcPr>
            <w:tcW w:type="dxa" w:w="2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Coverage</w:t>
            </w:r>
          </w:p>
        </w:tc>
        <w:tc>
          <w:tcPr>
            <w:tcW w:type="dxa" w:w="1500"/>
            <w:tcBorders>
              <w:top w:val="single" w:color="D0D5E8" w:sz="1"/>
              <w:left w:val="single" w:color="D0D5E8" w:sz="1"/>
              <w:bottom w:val="single" w:color="D0D5E8" w:sz="1"/>
              <w:right w:val="single" w:color="D0D5E8"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76</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w:t>
            </w:r>
          </w:p>
        </w:tc>
        <w:tc>
          <w:tcPr>
            <w:tcW w:type="dxa" w:w="4360"/>
            <w:tcBorders>
              <w:top w:val="single" w:color="D0D5E8" w:sz="1"/>
              <w:left w:val="single" w:color="D0D5E8" w:sz="1"/>
              <w:bottom w:val="single" w:color="D0D5E8" w:sz="1"/>
              <w:right w:val="single" w:color="D0D5E8"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Business areas with active monitoring — needs improvement</w:t>
            </w:r>
          </w:p>
        </w:tc>
      </w:tr>
      <w:tr>
        <w:tc>
          <w:tcPr>
            <w:tcW w:type="dxa" w:w="2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Stability</w:t>
            </w:r>
          </w:p>
        </w:tc>
        <w:tc>
          <w:tcPr>
            <w:tcW w:type="dxa" w:w="150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95</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95</w:t>
            </w:r>
          </w:p>
        </w:tc>
        <w:tc>
          <w:tcPr>
            <w:tcW w:type="dxa" w:w="43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Uptime &amp; error-free operation rate</w:t>
            </w:r>
          </w:p>
        </w:tc>
      </w:tr>
      <w:tr>
        <w:tc>
          <w:tcPr>
            <w:tcW w:type="dxa" w:w="2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Adoption</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82</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w:t>
            </w:r>
          </w:p>
        </w:tc>
        <w:tc>
          <w:tcPr>
            <w:tcW w:type="dxa" w:w="43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Active user engagement and stakeholder usage</w:t>
            </w:r>
          </w:p>
        </w:tc>
      </w:tr>
      <w:tr>
        <w:tc>
          <w:tcPr>
            <w:tcW w:type="dxa" w:w="2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Freshness</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w:t>
            </w:r>
          </w:p>
        </w:tc>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95</w:t>
            </w:r>
          </w:p>
        </w:tc>
        <w:tc>
          <w:tcPr>
            <w:tcW w:type="dxa" w:w="43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 recency and refresh success rate</w:t>
            </w:r>
          </w:p>
        </w:tc>
      </w:tr>
    </w:tbl>
    <w:p>
      <w:pPr>
        <w:spacing w:after="80"/>
      </w:pPr>
      <w:r>
        <w:t xml:space="preserve"/>
      </w:r>
    </w:p>
    <w:p>
      <w:pPr>
        <w:pStyle w:val="Heading2"/>
      </w:pPr>
      <w:r>
        <w:t xml:space="preserve">5. Weekly Error Volume by Region</w:t>
      </w:r>
    </w:p>
    <w:p>
      <w:pPr>
        <w:spacing w:after="160"/>
      </w:pPr>
      <w:r>
        <w:rPr>
          <w:rFonts w:ascii="Arial" w:cs="Arial" w:eastAsia="Arial" w:hAnsi="Arial"/>
          <w:sz w:val="22"/>
          <w:szCs w:val="22"/>
        </w:rPr>
        <w:t xml:space="preserve">The grouped bar chart in the dashboard breaks down weekly error volumes per region. Wednesday consistently shows the highest error volume across all regions, while weekends show a significant reduction — consistent with reduced business transaction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60"/>
        <w:gridCol w:w="600"/>
      </w:tblGrid>
      <w:tr>
        <w:tc>
          <w:tcPr>
            <w:tcW w:type="dxa" w:w="15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Day</w:t>
            </w:r>
          </w:p>
        </w:tc>
        <w:tc>
          <w:tcPr>
            <w:tcW w:type="dxa" w:w="12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Frankfurt</w:t>
            </w:r>
          </w:p>
        </w:tc>
        <w:tc>
          <w:tcPr>
            <w:tcW w:type="dxa" w:w="12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Singapore</w:t>
            </w:r>
          </w:p>
        </w:tc>
        <w:tc>
          <w:tcPr>
            <w:tcW w:type="dxa" w:w="12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Chicago</w:t>
            </w:r>
          </w:p>
        </w:tc>
        <w:tc>
          <w:tcPr>
            <w:tcW w:type="dxa" w:w="12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w:t>
            </w:r>
          </w:p>
        </w:tc>
        <w:tc>
          <w:tcPr>
            <w:tcW w:type="dxa" w:w="12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Dubai</w:t>
            </w:r>
          </w:p>
        </w:tc>
        <w:tc>
          <w:tcPr>
            <w:tcW w:type="dxa" w:w="126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São Paulo</w:t>
            </w:r>
          </w:p>
        </w:tc>
        <w:tc>
          <w:tcPr>
            <w:tcW w:type="dxa" w:w="6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Monday</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127</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Tuesday</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55</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44</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175</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Wednesday</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71</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w:t>
            </w:r>
          </w:p>
        </w:tc>
        <w:tc>
          <w:tcPr>
            <w:tcW w:type="dxa" w:w="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219</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Thursday</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149</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Friday</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47</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w:t>
            </w:r>
          </w:p>
        </w:tc>
        <w:tc>
          <w:tcPr>
            <w:tcW w:type="dxa" w:w="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189</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Saturday</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60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w:t>
            </w:r>
          </w:p>
        </w:tc>
      </w:tr>
      <w:tr>
        <w:tc>
          <w:tcPr>
            <w:tcW w:type="dxa" w:w="1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Sunday</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2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12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60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47</w:t>
            </w:r>
          </w:p>
        </w:tc>
      </w:tr>
    </w:tbl>
    <w:p>
      <w:pPr>
        <w:spacing w:after="80"/>
      </w:pPr>
      <w:r>
        <w:t xml:space="preserve"/>
      </w:r>
    </w:p>
    <w:p>
      <w:pPr>
        <w:pStyle w:val="Heading2"/>
      </w:pPr>
      <w:r>
        <w:t xml:space="preserve">6. Team Collaboration &amp; User Story Tracker</w:t>
      </w:r>
    </w:p>
    <w:p>
      <w:pPr>
        <w:spacing w:after="160"/>
      </w:pPr>
      <w:r>
        <w:rPr>
          <w:rFonts w:ascii="Arial" w:cs="Arial" w:eastAsia="Arial" w:hAnsi="Arial"/>
          <w:sz w:val="22"/>
          <w:szCs w:val="22"/>
        </w:rPr>
        <w:t xml:space="preserve">The user story tracker within the dashboard facilitates cross-team and cross-location visibility. All six regional teams contribute to and monitor story progress. The following table reflects the current sprint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000"/>
        <w:gridCol w:w="2560"/>
      </w:tblGrid>
      <w:tr>
        <w:tc>
          <w:tcPr>
            <w:tcW w:type="dxa" w:w="26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6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Team</w:t>
            </w:r>
          </w:p>
        </w:tc>
        <w:tc>
          <w:tcPr>
            <w:tcW w:type="dxa" w:w="16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10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56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Errors by SLA segment</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 Analytics</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Frankfurt</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25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 Progress</w:t>
            </w:r>
          </w:p>
        </w:tc>
      </w:tr>
      <w:tr>
        <w:tc>
          <w:tcPr>
            <w:tcW w:type="dxa" w:w="2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MTTR Calculated Field v2</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 Eng</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Remote</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w:t>
            </w:r>
          </w:p>
        </w:tc>
        <w:tc>
          <w:tcPr>
            <w:tcW w:type="dxa" w:w="256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Done</w:t>
            </w:r>
          </w:p>
        </w:tc>
      </w:tr>
      <w:tr>
        <w:tc>
          <w:tcPr>
            <w:tcW w:type="dxa" w:w="2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Region drill-through</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Viz Team</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Singapore</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25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 Progress</w:t>
            </w:r>
          </w:p>
        </w:tc>
      </w:tr>
      <w:tr>
        <w:tc>
          <w:tcPr>
            <w:tcW w:type="dxa" w:w="2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Auto-refresh pipeline</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Infra</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Chicago</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w:t>
            </w:r>
          </w:p>
        </w:tc>
        <w:tc>
          <w:tcPr>
            <w:tcW w:type="dxa" w:w="2560"/>
            <w:tcBorders>
              <w:top w:val="single" w:color="D0D5E8" w:sz="1"/>
              <w:left w:val="single" w:color="D0D5E8" w:sz="1"/>
              <w:bottom w:val="single" w:color="D0D5E8" w:sz="1"/>
              <w:right w:val="single" w:color="D0D5E8"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Blocked</w:t>
            </w:r>
          </w:p>
        </w:tc>
      </w:tr>
      <w:tr>
        <w:tc>
          <w:tcPr>
            <w:tcW w:type="dxa" w:w="2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Stakeholder export PDF</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 Analytics</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London</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P3</w:t>
            </w:r>
          </w:p>
        </w:tc>
        <w:tc>
          <w:tcPr>
            <w:tcW w:type="dxa" w:w="256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Done</w:t>
            </w:r>
          </w:p>
        </w:tc>
      </w:tr>
      <w:tr>
        <w:tc>
          <w:tcPr>
            <w:tcW w:type="dxa" w:w="2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LOD accuracy audit</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QA</w:t>
            </w:r>
          </w:p>
        </w:tc>
        <w:tc>
          <w:tcPr>
            <w:tcW w:type="dxa" w:w="16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Dubai</w:t>
            </w:r>
          </w:p>
        </w:tc>
        <w:tc>
          <w:tcPr>
            <w:tcW w:type="dxa" w:w="10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w:t>
            </w:r>
          </w:p>
        </w:tc>
        <w:tc>
          <w:tcPr>
            <w:tcW w:type="dxa" w:w="2560"/>
            <w:tcBorders>
              <w:top w:val="single" w:color="D0D5E8" w:sz="1"/>
              <w:left w:val="single" w:color="D0D5E8" w:sz="1"/>
              <w:bottom w:val="single" w:color="D0D5E8" w:sz="1"/>
              <w:right w:val="single" w:color="D0D5E8" w:sz="1"/>
            </w:tcBorders>
            <w:shd w:fill="E6F9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Done</w:t>
            </w:r>
          </w:p>
        </w:tc>
      </w:tr>
    </w:tbl>
    <w:p>
      <w:pPr>
        <w:spacing w:after="80"/>
      </w:pPr>
      <w:r>
        <w:t xml:space="preserve"/>
      </w:r>
    </w:p>
    <w:p>
      <w:pPr>
        <w:pStyle w:val="Heading2"/>
      </w:pPr>
      <w:r>
        <w:t xml:space="preserve">7.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Dataset File</w:t>
            </w:r>
          </w:p>
        </w:tc>
        <w:tc>
          <w:tcPr>
            <w:tcW w:type="dxa" w:w="350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060"/>
            <w:tcBorders>
              <w:top w:val="single" w:color="2C3E7A" w:sz="1"/>
              <w:left w:val="single" w:color="2C3E7A" w:sz="1"/>
              <w:bottom w:val="single" w:color="2C3E7A" w:sz="1"/>
              <w:right w:val="single" w:color="2C3E7A" w:sz="1"/>
            </w:tcBorders>
            <w:shd w:fill="2C3E7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Records</w:t>
            </w:r>
          </w:p>
        </w:tc>
      </w:tr>
      <w:tr>
        <w:tc>
          <w:tcPr>
            <w:tcW w:type="dxa" w:w="28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project3_location_status.csv</w:t>
            </w:r>
          </w:p>
        </w:tc>
        <w:tc>
          <w:tcPr>
            <w:tcW w:type="dxa" w:w="3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Real-time status per location with KPIs</w:t>
            </w:r>
          </w:p>
        </w:tc>
        <w:tc>
          <w:tcPr>
            <w:tcW w:type="dxa" w:w="30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 locations</w:t>
            </w:r>
          </w:p>
        </w:tc>
      </w:tr>
      <w:tr>
        <w:tc>
          <w:tcPr>
            <w:tcW w:type="dxa" w:w="28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project3_weekly_errors_by_region.csv</w:t>
            </w:r>
          </w:p>
        </w:tc>
        <w:tc>
          <w:tcPr>
            <w:tcW w:type="dxa" w:w="3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Error counts by location per day of week</w:t>
            </w:r>
          </w:p>
        </w:tc>
        <w:tc>
          <w:tcPr>
            <w:tcW w:type="dxa" w:w="30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days × 6 regions</w:t>
            </w:r>
          </w:p>
        </w:tc>
      </w:tr>
      <w:tr>
        <w:tc>
          <w:tcPr>
            <w:tcW w:type="dxa" w:w="28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project3_dashboard_health_radar.csv</w:t>
            </w:r>
          </w:p>
        </w:tc>
        <w:tc>
          <w:tcPr>
            <w:tcW w:type="dxa" w:w="3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Health radar dimension scores vs targets</w:t>
            </w:r>
          </w:p>
        </w:tc>
        <w:tc>
          <w:tcPr>
            <w:tcW w:type="dxa" w:w="30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 dimensions</w:t>
            </w:r>
          </w:p>
        </w:tc>
      </w:tr>
      <w:tr>
        <w:tc>
          <w:tcPr>
            <w:tcW w:type="dxa" w:w="28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project3_activity_log.csv</w:t>
            </w:r>
          </w:p>
        </w:tc>
        <w:tc>
          <w:tcPr>
            <w:tcW w:type="dxa" w:w="350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Live activity feed and collaboration events</w:t>
            </w:r>
          </w:p>
        </w:tc>
        <w:tc>
          <w:tcPr>
            <w:tcW w:type="dxa" w:w="3060"/>
            <w:tcBorders>
              <w:top w:val="single" w:color="D0D5E8" w:sz="1"/>
              <w:left w:val="single" w:color="D0D5E8" w:sz="1"/>
              <w:bottom w:val="single" w:color="D0D5E8" w:sz="1"/>
              <w:right w:val="single" w:color="D0D5E8"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events</w:t>
            </w:r>
          </w:p>
        </w:tc>
      </w:tr>
    </w:tbl>
    <w:p>
      <w:pPr>
        <w:spacing w:after="80"/>
      </w:pPr>
      <w:r>
        <w:t xml:space="preserve"/>
      </w:r>
    </w:p>
    <w:p>
      <w:pPr>
        <w:pStyle w:val="Heading2"/>
      </w:pPr>
      <w:r>
        <w:t xml:space="preserve">8. Recommendations</w:t>
      </w:r>
    </w:p>
    <w:p>
      <w:pPr>
        <w:pStyle w:val="ListParagraph"/>
        <w:numPr>
          <w:ilvl w:val="0"/>
          <w:numId w:val="2"/>
        </w:numPr>
        <w:spacing w:after="80"/>
      </w:pPr>
      <w:r>
        <w:rPr>
          <w:rFonts w:ascii="Arial" w:cs="Arial" w:eastAsia="Arial" w:hAnsi="Arial"/>
          <w:sz w:val="22"/>
          <w:szCs w:val="22"/>
        </w:rPr>
        <w:t xml:space="preserve">Coverage score (76) is the largest gap from target (90) — prioritize building dashboards for the 3 uncovered business areas in Q2.</w:t>
      </w:r>
    </w:p>
    <w:p>
      <w:pPr>
        <w:pStyle w:val="ListParagraph"/>
        <w:numPr>
          <w:ilvl w:val="0"/>
          <w:numId w:val="2"/>
        </w:numPr>
        <w:spacing w:after="80"/>
      </w:pPr>
      <w:r>
        <w:rPr>
          <w:rFonts w:ascii="Arial" w:cs="Arial" w:eastAsia="Arial" w:hAnsi="Arial"/>
          <w:sz w:val="22"/>
          <w:szCs w:val="22"/>
        </w:rPr>
        <w:t xml:space="preserve">Frankfurt has the highest open error count (12) — consider splitting the Frankfurt error management view into a dedicated sub-dashboard.</w:t>
      </w:r>
    </w:p>
    <w:p>
      <w:pPr>
        <w:pStyle w:val="ListParagraph"/>
        <w:numPr>
          <w:ilvl w:val="0"/>
          <w:numId w:val="2"/>
        </w:numPr>
        <w:spacing w:after="80"/>
      </w:pPr>
      <w:r>
        <w:rPr>
          <w:rFonts w:ascii="Arial" w:cs="Arial" w:eastAsia="Arial" w:hAnsi="Arial"/>
          <w:sz w:val="22"/>
          <w:szCs w:val="22"/>
        </w:rPr>
        <w:t xml:space="preserve">Wednesday peak error volumes suggest mid-week deployments or scheduled jobs are major contributors — investigate automation schedules.</w:t>
      </w:r>
    </w:p>
    <w:p>
      <w:pPr>
        <w:pStyle w:val="ListParagraph"/>
        <w:numPr>
          <w:ilvl w:val="0"/>
          <w:numId w:val="2"/>
        </w:numPr>
        <w:spacing w:after="80"/>
      </w:pPr>
      <w:r>
        <w:rPr>
          <w:rFonts w:ascii="Arial" w:cs="Arial" w:eastAsia="Arial" w:hAnsi="Arial"/>
          <w:sz w:val="22"/>
          <w:szCs w:val="22"/>
        </w:rPr>
        <w:t xml:space="preserve">São Paulo and Chicago lead in health score (97, 96) — review their processes and replicate best practices across EU and MEA regions.</w:t>
      </w:r>
    </w:p>
    <w:p>
      <w:pPr>
        <w:pStyle w:val="ListParagraph"/>
        <w:numPr>
          <w:ilvl w:val="0"/>
          <w:numId w:val="2"/>
        </w:numPr>
        <w:spacing w:after="80"/>
      </w:pPr>
      <w:r>
        <w:rPr>
          <w:rFonts w:ascii="Arial" w:cs="Arial" w:eastAsia="Arial" w:hAnsi="Arial"/>
          <w:sz w:val="22"/>
          <w:szCs w:val="22"/>
        </w:rPr>
        <w:t xml:space="preserve">Adoption score (82) can be improved by adding scheduled weekly digest emails and Slack integration for dashboard notifications.</w:t>
      </w:r>
    </w:p>
    <w:p>
      <w:pPr>
        <w:spacing w:after="80"/>
      </w:pPr>
      <w:r>
        <w:t xml:space="preserve"/>
      </w:r>
    </w:p>
    <w:p>
      <w:pPr>
        <w:spacing w:after="160"/>
      </w:pPr>
      <w:r>
        <w:rPr>
          <w:rFonts w:ascii="Arial" w:cs="Arial" w:eastAsia="Arial" w:hAnsi="Arial"/>
          <w:color w:val="888888"/>
          <w:sz w:val="18"/>
          <w:szCs w:val="18"/>
        </w:rPr>
        <w:t xml:space="preserve">Report generated: March 12, 2026   |   Next review: April 1,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4" w:space="1"/>
      </w:pBdr>
      <w:spacing w:before="0"/>
    </w:pPr>
    <w:r>
      <w:rPr>
        <w:rFonts w:ascii="Arial" w:cs="Arial" w:eastAsia="Arial" w:hAnsi="Arial"/>
        <w:color w:val="888888"/>
        <w:sz w:val="16"/>
        <w:szCs w:val="16"/>
      </w:rPr>
      <w:t xml:space="preserve">Confidential — Analytics Team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1"/>
      </w:pBdr>
      <w:spacing w:after="0"/>
    </w:pPr>
    <w:r>
      <w:rPr>
        <w:rFonts w:ascii="Arial" w:cs="Arial" w:eastAsia="Arial" w:hAnsi="Arial"/>
        <w:b/>
        <w:bCs/>
        <w:color w:val="2C3E7A"/>
        <w:sz w:val="18"/>
        <w:szCs w:val="18"/>
      </w:rPr>
      <w:t xml:space="preserve">Project 3: Global Operations Dashboard  |  </w:t>
    </w:r>
    <w:r>
      <w:rPr>
        <w:rFonts w:ascii="Arial" w:cs="Arial" w:eastAsia="Arial" w:hAnsi="Arial"/>
        <w:color w:val="888888"/>
        <w:sz w:val="16"/>
        <w:szCs w:val="16"/>
      </w:rPr>
      <w:t xml:space="preserve">Tableau Analytics Report — Q1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C3E7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5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2026-03-12T14:14:53.898Z</dcterms:created>
  <dcterms:modified xsi:type="dcterms:W3CDTF">2026-03-12T14:14:53.898Z</dcterms:modified>
</cp:coreProperties>
</file>

<file path=docProps/custom.xml><?xml version="1.0" encoding="utf-8"?>
<Properties xmlns="http://schemas.openxmlformats.org/officeDocument/2006/custom-properties" xmlns:vt="http://schemas.openxmlformats.org/officeDocument/2006/docPropsVTypes"/>
</file>