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14" w:val="right"/>
        </w:tabs>
        <w:jc w:val="left"/>
      </w:pPr>
      <w:r>
        <w:t>Tele: 011-00000000</w:t>
      </w:r>
      <w:r>
        <w:tab/>
      </w:r>
      <w:r>
        <w:rPr>
          <w:b/>
        </w:rPr>
        <w:t>PRIORITY</w:t>
      </w:r>
    </w:p>
    <w:p/>
    <w:p>
      <w:pPr>
        <w:tabs>
          <w:tab w:pos="9314" w:val="right"/>
        </w:tabs>
        <w:jc w:val="left"/>
      </w:pPr>
      <w:r>
        <w:tab/>
      </w:r>
      <w:r>
        <w:rPr/>
        <w:t>Copy No 2/7</w:t>
      </w:r>
    </w:p>
    <w:p/>
    <w:p>
      <w:pPr>
        <w:jc w:val="left"/>
      </w:pPr>
      <w:r>
        <w:t>Specimen Headquarters</w:t>
      </w:r>
    </w:p>
    <w:p>
      <w:pPr>
        <w:jc w:val="left"/>
      </w:pPr>
      <w:r>
        <w:t>Test Block, Sample Road</w:t>
      </w:r>
    </w:p>
    <w:p>
      <w:pPr>
        <w:jc w:val="left"/>
      </w:pPr>
      <w:r>
        <w:t>New Delhi 110001</w:t>
      </w:r>
    </w:p>
    <w:p/>
    <w:p>
      <w:pPr>
        <w:jc w:val="left"/>
      </w:pPr>
      <w:r>
        <w:t>SPECIMEN/0001/MoM</w:t>
        <w:tab/>
        <w:t>dt 15 Sep 26</w:t>
      </w:r>
    </w:p>
    <w:p/>
    <w:p>
      <w:pPr>
        <w:keepNext/>
        <w:jc w:val="center"/>
      </w:pPr>
      <w:r>
        <w:rPr>
          <w:b/>
        </w:rPr>
        <w:t>MINUTES OF THE MEETING HELD AT CONFERENCE ROOM, SPECIMEN HQ</w:t>
        <w:br/>
      </w:r>
      <w:r>
        <w:rPr>
          <w:b/>
        </w:rPr>
        <w:t>AT 1030 HR ON 12 SEP 26</w:t>
        <w:br/>
      </w:r>
      <w:r>
        <w:rPr>
          <w:b/>
        </w:rPr>
        <w:t>TO DISCUSS SPECIMEN PROCUREMENT REVIEW</w:t>
      </w:r>
    </w:p>
    <w:p>
      <w:pPr>
        <w:keepNext/>
      </w:pPr>
    </w:p>
    <w:p>
      <w:pPr>
        <w:keepNext/>
        <w:tabs>
          <w:tab w:pos="720" w:val="left"/>
        </w:tabs>
        <w:jc w:val="both"/>
      </w:pPr>
      <w:r>
        <w:t>1.</w:t>
        <w:tab/>
      </w:r>
      <w:r>
        <w:t>The following were present:-</w:t>
      </w:r>
    </w:p>
    <w:tbl>
      <w:tblPr>
        <w:tblW w:type="auto" w:w="0"/>
        <w:jc w:val="left"/>
        <w:tblInd w:w="72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418"/>
        <w:gridCol w:w="2736"/>
        <w:gridCol w:w="1440"/>
      </w:tblGrid>
      <w:tr>
        <w:tc>
          <w:tcPr>
            <w:tcW w:type="dxa" w:w="4418"/>
          </w:tcPr>
          <w:p>
            <w:pPr>
              <w:keepNext/>
            </w:pPr>
          </w:p>
        </w:tc>
        <w:tc>
          <w:tcPr>
            <w:tcW w:type="dxa" w:w="2736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1.1.</w:t>
              <w:tab/>
            </w:r>
            <w:r>
              <w:t>Brig AK Sharma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Director Finance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Chairman</w:t>
            </w:r>
          </w:p>
        </w:tc>
      </w:tr>
      <w:tr>
        <w:tc>
          <w:tcPr>
            <w:tcW w:type="dxa" w:w="441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1.2.</w:t>
              <w:tab/>
            </w:r>
            <w:r>
              <w:t>Col RS Mehta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Head of IT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</w:tr>
      <w:tr>
        <w:tc>
          <w:tcPr>
            <w:tcW w:type="dxa" w:w="441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1.3.</w:t>
              <w:tab/>
            </w:r>
            <w:r>
              <w:t>Col PK Nair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Head of Administration</w:t>
            </w:r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</w:tr>
      <w:tr>
        <w:tc>
          <w:tcPr>
            <w:tcW w:type="dxa" w:w="441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1.4.</w:t>
              <w:tab/>
            </w:r>
            <w:r>
              <w:t>Lt Col S Iyer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Head of Procurement</w:t>
            </w:r>
          </w:p>
        </w:tc>
        <w:tc>
          <w:tcPr>
            <w:tcW w:type="dxa" w:w="1440"/>
          </w:tcPr>
          <w:p>
            <w:pPr>
              <w:jc w:val="left"/>
            </w:pPr>
            <w:r/>
          </w:p>
        </w:tc>
      </w:tr>
      <w:tr>
        <w:tc>
          <w:tcPr>
            <w:tcW w:type="dxa" w:w="4418"/>
          </w:tcPr>
          <w:p/>
        </w:tc>
        <w:tc>
          <w:tcPr>
            <w:tcW w:type="dxa" w:w="2736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4418"/>
          </w:tcPr>
          <w:p>
            <w:pPr>
              <w:tabs>
                <w:tab w:pos="720" w:val="left"/>
              </w:tabs>
              <w:ind w:left="0"/>
              <w:jc w:val="both"/>
            </w:pPr>
            <w:r>
              <w:t>1.5.</w:t>
              <w:tab/>
            </w:r>
            <w:r>
              <w:t>Maj SK Rao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t>Deputy Director Finance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Secretary</w:t>
            </w:r>
          </w:p>
        </w:tc>
      </w:tr>
    </w:tbl>
    <w:p>
      <w:pPr>
        <w:keepNext/>
      </w:pPr>
    </w:p>
    <w:p>
      <w:pPr>
        <w:keepNext/>
        <w:jc w:val="center"/>
      </w:pPr>
      <w:r>
        <w:rPr>
          <w:b/>
        </w:rPr>
        <w:t>INTRODUCTION</w:t>
      </w:r>
    </w:p>
    <w:p>
      <w:pPr>
        <w:keepNext/>
      </w:pPr>
    </w:p>
    <w:p>
      <w:pPr>
        <w:keepNext/>
        <w:tabs>
          <w:tab w:pos="720" w:val="left"/>
        </w:tabs>
        <w:jc w:val="both"/>
      </w:pPr>
      <w:r>
        <w:t>2.</w:t>
        <w:tab/>
      </w:r>
      <w:r>
        <w:t>The following agenda was taken up:-</w:t>
      </w:r>
    </w:p>
    <w:p>
      <w:pPr>
        <w:keepNext/>
      </w:pPr>
    </w:p>
    <w:p>
      <w:pPr>
        <w:tabs>
          <w:tab w:pos="1440" w:val="left"/>
        </w:tabs>
        <w:ind w:left="720"/>
        <w:jc w:val="both"/>
      </w:pPr>
      <w:r>
        <w:t>2.1.</w:t>
        <w:tab/>
      </w:r>
      <w:r>
        <w:t>Revised procurement guidelines.</w:t>
      </w:r>
    </w:p>
    <w:p/>
    <w:p>
      <w:pPr>
        <w:tabs>
          <w:tab w:pos="1440" w:val="left"/>
        </w:tabs>
        <w:ind w:left="720"/>
        <w:jc w:val="both"/>
      </w:pPr>
      <w:r>
        <w:t>2.2.</w:t>
        <w:tab/>
      </w:r>
      <w:r>
        <w:t>Server refresh.</w:t>
      </w:r>
    </w:p>
    <w:p/>
    <w:p>
      <w:pPr>
        <w:tabs>
          <w:tab w:pos="1440" w:val="left"/>
        </w:tabs>
        <w:ind w:left="720"/>
        <w:jc w:val="both"/>
      </w:pPr>
      <w:r>
        <w:t>2.3.</w:t>
        <w:tab/>
      </w:r>
      <w:r>
        <w:t>Stationery contract.</w:t>
      </w:r>
    </w:p>
    <w:p/>
    <w:p>
      <w:pPr>
        <w:tabs>
          <w:tab w:pos="1440" w:val="left"/>
        </w:tabs>
        <w:ind w:left="720"/>
        <w:jc w:val="both"/>
      </w:pPr>
      <w:r>
        <w:t>2.4.</w:t>
        <w:tab/>
      </w:r>
      <w:r>
        <w:t>Vendor performance.</w:t>
      </w:r>
    </w:p>
    <w:p>
      <w:pPr>
        <w:keepNext/>
      </w:pPr>
    </w:p>
    <w:p>
      <w:pPr>
        <w:tabs>
          <w:tab w:pos="720" w:val="left"/>
        </w:tabs>
        <w:jc w:val="both"/>
      </w:pPr>
      <w:r>
        <w:t>3.</w:t>
        <w:tab/>
      </w:r>
      <w:r>
        <w:t>The Specimen Procurement Review was held to take stock of the revised procurement guidelines, the delayed server refresh, the stationery contract and vendor performance.</w:t>
      </w:r>
    </w:p>
    <w:p/>
    <w:tbl>
      <w:tblPr>
        <w:tblW w:type="auto" w:w="0"/>
        <w:jc w:val="left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6434"/>
        <w:gridCol w:w="1440"/>
        <w:gridCol w:w="1440"/>
      </w:tblGrid>
      <w:tr>
        <w:trPr>
          <w:tblHeader/>
        </w:trP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  <w:jc w:val="center"/>
            </w:pPr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pPr>
              <w:keepNext/>
              <w:jc w:val="center"/>
            </w:pPr>
            <w:r>
              <w:rPr>
                <w:b/>
              </w:rPr>
              <w:t>Info</w:t>
            </w:r>
          </w:p>
        </w:tc>
      </w:tr>
      <w:t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keepNext/>
              <w:jc w:val="center"/>
            </w:pPr>
            <w:r>
              <w:rPr>
                <w:b/>
                <w:u w:val="single"/>
              </w:rPr>
              <w:t>ITEM I – SPECIMEN PROCUREMENT REVIEW</w:t>
            </w: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keepNext/>
              <w:jc w:val="center"/>
            </w:pPr>
            <w:r>
              <w:rPr/>
              <w:t>(CONFIDENTIAL)</w:t>
            </w: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4.</w:t>
              <w:tab/>
            </w:r>
            <w:r>
              <w:t>The Ministry has issued revised procurement guidelines, effective from the next financial year.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5.</w:t>
              <w:tab/>
            </w:r>
            <w:r>
              <w:t>Every purchase above five lakh rupees now requires competitive bidding with at least three qualified vendors.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6.</w:t>
              <w:tab/>
            </w:r>
            <w:r>
              <w:t>The server refresh has slipped by six weeks because two of the three shortlisted vendors withdrew.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7.</w:t>
              <w:tab/>
            </w:r>
            <w:r>
              <w:t>The annual stationery contract expires in November.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8.</w:t>
              <w:tab/>
            </w:r>
            <w:r>
              <w:t>Two vendors were rated below threshold in the performance report.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keepNext/>
              <w:tabs>
                <w:tab w:pos="720" w:val="left"/>
              </w:tabs>
              <w:ind w:right="144"/>
              <w:jc w:val="both"/>
            </w:pPr>
            <w:r>
              <w:t>9.</w:t>
              <w:tab/>
            </w:r>
            <w:r>
              <w:t>The following figures were quoted:-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  <w:tc>
          <w:tcPr>
            <w:tcW w:type="dxa" w:w="1440"/>
          </w:tcPr>
          <w:p>
            <w:pPr>
              <w:keepNext/>
            </w:pPr>
          </w:p>
        </w:tc>
      </w:tr>
      <w:tr>
        <w:tc>
          <w:tcPr>
            <w:tcW w:type="dxa" w:w="6434"/>
          </w:tcPr>
          <w:p>
            <w:pPr>
              <w:tabs>
                <w:tab w:pos="1440" w:val="left"/>
              </w:tabs>
              <w:ind w:left="720" w:right="144"/>
              <w:jc w:val="both"/>
            </w:pPr>
            <w:r>
              <w:t>9.1.</w:t>
              <w:tab/>
            </w:r>
            <w:r>
              <w:t>Competitive bidding threshold: five lakh rupees.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1440" w:val="left"/>
              </w:tabs>
              <w:ind w:left="720" w:right="144"/>
              <w:jc w:val="both"/>
            </w:pPr>
            <w:r>
              <w:t>9.2.</w:t>
              <w:tab/>
            </w:r>
            <w:r>
              <w:t>Minimum qualified vendors: three.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1440" w:val="left"/>
              </w:tabs>
              <w:ind w:left="720" w:right="144"/>
              <w:jc w:val="both"/>
            </w:pPr>
            <w:r>
              <w:t>9.3.</w:t>
              <w:tab/>
            </w:r>
            <w:r>
              <w:t>Server refresh delay: six weeks.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10.</w:t>
              <w:tab/>
            </w:r>
            <w:r>
              <w:rPr>
                <w:b/>
              </w:rPr>
              <w:t>Decision.</w:t>
            </w:r>
            <w:r>
              <w:t xml:space="preserve"> </w:t>
            </w:r>
            <w:r>
              <w:t>The server tender will be re-floated with a wider eligibility band.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11.</w:t>
              <w:tab/>
            </w:r>
            <w:r>
              <w:rPr>
                <w:b/>
              </w:rPr>
              <w:t>Decision.</w:t>
            </w:r>
            <w:r>
              <w:t xml:space="preserve"> </w:t>
            </w:r>
            <w:r>
              <w:t>The existing stationery contract will be extended by three months rather than rushing a fresh tender.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12.</w:t>
              <w:tab/>
            </w:r>
            <w:r>
              <w:rPr>
                <w:b/>
              </w:rPr>
              <w:t>Decision.</w:t>
            </w:r>
            <w:r>
              <w:t xml:space="preserve"> </w:t>
            </w:r>
            <w:r>
              <w:t>Re-float the server tender with a wider eligibility band by 30 Sep 26.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  <w:t>Hd IT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13.</w:t>
              <w:tab/>
            </w:r>
            <w:r>
              <w:rPr>
                <w:b/>
              </w:rPr>
              <w:t>Decision.</w:t>
            </w:r>
            <w:r>
              <w:t xml:space="preserve"> </w:t>
            </w:r>
            <w:r>
              <w:t>Extend the stationery contract by three months by 15 Oct 26.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  <w:t>Hd Adm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6434"/>
          </w:tcPr>
          <w:p>
            <w:pPr>
              <w:tabs>
                <w:tab w:pos="720" w:val="left"/>
              </w:tabs>
              <w:ind w:right="144"/>
              <w:jc w:val="both"/>
            </w:pPr>
            <w:r>
              <w:t>14.</w:t>
              <w:tab/>
            </w:r>
            <w:r>
              <w:rPr>
                <w:b/>
              </w:rPr>
              <w:t>Decision.</w:t>
            </w:r>
            <w:r>
              <w:t xml:space="preserve"> </w:t>
            </w:r>
            <w:r>
              <w:t>Issue show-cause notices to the two underperforming vendors by 29 Sep 26.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/>
              <w:t>Hd Proc</w:t>
            </w:r>
          </w:p>
        </w:tc>
        <w:tc>
          <w:tcPr>
            <w:tcW w:type="dxa" w:w="1440"/>
          </w:tcPr>
          <w:p/>
        </w:tc>
      </w:tr>
    </w:tbl>
    <w:p/>
    <w:p>
      <w:pPr>
        <w:keepNext/>
        <w:tabs>
          <w:tab w:pos="720" w:val="left"/>
        </w:tabs>
        <w:jc w:val="both"/>
      </w:pPr>
      <w:r>
        <w:t>15.</w:t>
        <w:tab/>
      </w:r>
      <w:r>
        <w:t>Agreement with the minutes will be assumed unless amendments are received by 25 Sep 26.</w:t>
      </w: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</w:pPr>
    </w:p>
    <w:p>
      <w:pPr>
        <w:keepNext/>
        <w:jc w:val="left"/>
      </w:pPr>
      <w:r>
        <w:t>(SK Rao)</w:t>
      </w:r>
    </w:p>
    <w:p>
      <w:pPr>
        <w:keepNext/>
        <w:jc w:val="left"/>
      </w:pPr>
      <w:r>
        <w:t>Maj</w:t>
      </w:r>
    </w:p>
    <w:p>
      <w:pPr>
        <w:jc w:val="left"/>
      </w:pPr>
      <w:r>
        <w:t>Secretary</w:t>
      </w:r>
    </w:p>
    <w:p>
      <w:pPr>
        <w:keepNext/>
      </w:pPr>
    </w:p>
    <w:tbl>
      <w:tblPr>
        <w:tblW w:type="auto" w:w="0"/>
        <w:jc w:val="left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3456"/>
        <w:gridCol w:w="2016"/>
        <w:gridCol w:w="1584"/>
        <w:gridCol w:w="2258"/>
      </w:tblGrid>
      <w:tr>
        <w:tc>
          <w:tcPr>
            <w:tcW w:type="dxa" w:w="3456"/>
          </w:tcPr>
          <w:p>
            <w:pPr>
              <w:keepNext/>
              <w:jc w:val="left"/>
            </w:pPr>
            <w:r>
              <w:rPr>
                <w:b/>
              </w:rPr>
              <w:t>Distribution</w:t>
            </w:r>
          </w:p>
        </w:tc>
        <w:tc>
          <w:tcPr>
            <w:tcW w:type="dxa" w:w="2016"/>
          </w:tcPr>
          <w:p>
            <w:pPr>
              <w:keepNext/>
              <w:jc w:val="left"/>
            </w:pPr>
            <w:r>
              <w:rPr>
                <w:b/>
              </w:rPr>
              <w:t>No of Copies</w:t>
            </w:r>
          </w:p>
        </w:tc>
        <w:tc>
          <w:tcPr>
            <w:tcW w:type="dxa" w:w="1584"/>
          </w:tcPr>
          <w:p>
            <w:pPr>
              <w:keepNext/>
              <w:jc w:val="left"/>
            </w:pPr>
            <w:r>
              <w:rPr>
                <w:b/>
              </w:rPr>
              <w:t>Copy No</w:t>
            </w:r>
          </w:p>
        </w:tc>
        <w:tc>
          <w:tcPr>
            <w:tcW w:type="dxa" w:w="2258"/>
          </w:tcPr>
          <w:p>
            <w:pPr>
              <w:keepNext/>
              <w:jc w:val="left"/>
            </w:pPr>
            <w:r>
              <w:rPr>
                <w:b/>
              </w:rPr>
              <w:t>Remarks</w:t>
            </w:r>
          </w:p>
        </w:tc>
      </w:tr>
      <w:tr>
        <w:tc>
          <w:tcPr>
            <w:tcW w:type="dxa" w:w="3456"/>
          </w:tcPr>
          <w:p/>
        </w:tc>
        <w:tc>
          <w:tcPr>
            <w:tcW w:type="dxa" w:w="2016"/>
          </w:tcPr>
          <w:p/>
        </w:tc>
        <w:tc>
          <w:tcPr>
            <w:tcW w:type="dxa" w:w="1584"/>
          </w:tcPr>
          <w:p/>
        </w:tc>
        <w:tc>
          <w:tcPr>
            <w:tcW w:type="dxa" w:w="2258"/>
          </w:tcPr>
          <w:p/>
        </w:tc>
      </w:tr>
      <w:tr>
        <w:tc>
          <w:tcPr>
            <w:tcW w:type="dxa" w:w="3456"/>
          </w:tcPr>
          <w:p>
            <w:pPr>
              <w:jc w:val="left"/>
            </w:pPr>
            <w:r>
              <w:t>Sample Addressee 1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t>One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258"/>
          </w:tcPr>
          <w:p>
            <w:pPr>
              <w:jc w:val="left"/>
            </w:pPr>
            <w:r>
              <w:t>By hand</w:t>
            </w:r>
          </w:p>
        </w:tc>
      </w:tr>
      <w:tr>
        <w:tc>
          <w:tcPr>
            <w:tcW w:type="dxa" w:w="3456"/>
          </w:tcPr>
          <w:p/>
        </w:tc>
        <w:tc>
          <w:tcPr>
            <w:tcW w:type="dxa" w:w="2016"/>
          </w:tcPr>
          <w:p/>
        </w:tc>
        <w:tc>
          <w:tcPr>
            <w:tcW w:type="dxa" w:w="1584"/>
          </w:tcPr>
          <w:p/>
        </w:tc>
        <w:tc>
          <w:tcPr>
            <w:tcW w:type="dxa" w:w="2258"/>
          </w:tcPr>
          <w:p/>
        </w:tc>
      </w:tr>
      <w:tr>
        <w:tc>
          <w:tcPr>
            <w:tcW w:type="dxa" w:w="3456"/>
          </w:tcPr>
          <w:p>
            <w:pPr>
              <w:jc w:val="left"/>
            </w:pPr>
            <w:r>
              <w:t>Director Finance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t>One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258"/>
          </w:tcPr>
          <w:p>
            <w:pPr>
              <w:jc w:val="left"/>
            </w:pPr>
            <w:r>
              <w:t>By hand</w:t>
            </w:r>
          </w:p>
        </w:tc>
      </w:tr>
      <w:tr>
        <w:tc>
          <w:tcPr>
            <w:tcW w:type="dxa" w:w="3456"/>
          </w:tcPr>
          <w:p/>
        </w:tc>
        <w:tc>
          <w:tcPr>
            <w:tcW w:type="dxa" w:w="2016"/>
          </w:tcPr>
          <w:p/>
        </w:tc>
        <w:tc>
          <w:tcPr>
            <w:tcW w:type="dxa" w:w="1584"/>
          </w:tcPr>
          <w:p/>
        </w:tc>
        <w:tc>
          <w:tcPr>
            <w:tcW w:type="dxa" w:w="2258"/>
          </w:tcPr>
          <w:p/>
        </w:tc>
      </w:tr>
      <w:tr>
        <w:tc>
          <w:tcPr>
            <w:tcW w:type="dxa" w:w="3456"/>
          </w:tcPr>
          <w:p>
            <w:pPr>
              <w:jc w:val="left"/>
            </w:pPr>
            <w:r>
              <w:t>Head of IT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t>One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258"/>
          </w:tcPr>
          <w:p>
            <w:pPr>
              <w:jc w:val="left"/>
            </w:pPr>
            <w:r>
              <w:t>By SDS</w:t>
            </w:r>
          </w:p>
        </w:tc>
      </w:tr>
      <w:tr>
        <w:tc>
          <w:tcPr>
            <w:tcW w:type="dxa" w:w="3456"/>
          </w:tcPr>
          <w:p/>
        </w:tc>
        <w:tc>
          <w:tcPr>
            <w:tcW w:type="dxa" w:w="2016"/>
          </w:tcPr>
          <w:p/>
        </w:tc>
        <w:tc>
          <w:tcPr>
            <w:tcW w:type="dxa" w:w="1584"/>
          </w:tcPr>
          <w:p/>
        </w:tc>
        <w:tc>
          <w:tcPr>
            <w:tcW w:type="dxa" w:w="2258"/>
          </w:tcPr>
          <w:p/>
        </w:tc>
      </w:tr>
      <w:tr>
        <w:tc>
          <w:tcPr>
            <w:tcW w:type="dxa" w:w="3456"/>
          </w:tcPr>
          <w:p>
            <w:pPr>
              <w:jc w:val="left"/>
            </w:pPr>
            <w:r>
              <w:t>File</w:t>
            </w:r>
          </w:p>
        </w:tc>
        <w:tc>
          <w:tcPr>
            <w:tcW w:type="dxa" w:w="2016"/>
          </w:tcPr>
          <w:p>
            <w:pPr>
              <w:jc w:val="left"/>
            </w:pPr>
            <w:r>
              <w:t>One</w:t>
            </w:r>
          </w:p>
        </w:tc>
        <w:tc>
          <w:tcPr>
            <w:tcW w:type="dxa" w:w="1584"/>
          </w:tcPr>
          <w:p>
            <w:pPr>
              <w:jc w:val="left"/>
            </w:pPr>
            <w:r/>
          </w:p>
        </w:tc>
        <w:tc>
          <w:tcPr>
            <w:tcW w:type="dxa" w:w="2258"/>
          </w:tcPr>
          <w:p>
            <w:pPr>
              <w:jc w:val="left"/>
            </w:pPr>
            <w:r/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720" w:right="720" w:bottom="720" w:left="720" w:header="720" w:footer="720" w:gutter="1152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</w:p>
  <w:p>
    <w:pPr>
      <w:jc w:val="center"/>
    </w:pPr>
    <w:r>
      <w:rPr>
        <w:b/>
      </w:rPr>
      <w:t>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</w:p>
  <w:p>
    <w:pPr>
      <w:jc w:val="center"/>
    </w:pPr>
    <w:r>
      <w:rPr>
        <w:b/>
      </w:rPr>
      <w:t>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</w:rPr>
      <w:t>CONFIDENTIAL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JSSDWatermark1" o:spid="_x0000_s2050" type="#_x0000_t136" style="position:absolute;margin-left:0;margin-top:0;width:460pt;height:11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AL"/>
        </v:shape>
      </w:pict>
    </w:r>
  </w:p>
  <w:p>
    <w:pPr>
      <w:jc w:val="center"/>
    </w:pPr>
    <w:r>
      <w:fldChar w:fldCharType="begin"/>
    </w:r>
    <w:r>
      <w:instrText xml:space="preserve"> IF </w:instrTex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  <w:r>
      <w:instrText xml:space="preserve"> = 1 "(Only page)" "</w:instrText>
    </w:r>
    <w:r>
      <w:fldChar w:fldCharType="begin"/>
    </w:r>
    <w:r>
      <w:instrText xml:space="preserve"> IF </w:instrTex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  <w:r>
      <w:instrText xml:space="preserve"> &lt; 10 "(</w:instrText>
    </w:r>
    <w:r>
      <w:fldChar w:fldCharType="begin"/>
    </w:r>
    <w:r>
      <w:instrText xml:space="preserve"> NUMPAGES \* CardText \* FirstCap </w:instrText>
    </w:r>
    <w:r>
      <w:fldChar w:fldCharType="separate"/>
    </w:r>
    <w:r>
      <w:t>Three</w:t>
    </w:r>
    <w:r>
      <w:fldChar w:fldCharType="end"/>
    </w:r>
    <w:r>
      <w:instrText xml:space="preserve"> pages)" "(</w:instrTex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  <w:r>
      <w:instrText xml:space="preserve"> pages)" </w:instrText>
    </w:r>
    <w:r>
      <w:fldChar w:fldCharType="separate"/>
    </w:r>
    <w:r>
      <w:t>(Three pages)</w:t>
    </w:r>
    <w:r>
      <w:fldChar w:fldCharType="end"/>
    </w:r>
    <w:r>
      <w:instrText xml:space="preserve">" </w:instrText>
    </w:r>
    <w:r>
      <w:fldChar w:fldCharType="separate"/>
    </w:r>
    <w:r>
      <w:t>(Three pages)</w:t>
    </w:r>
    <w:r>
      <w:fldChar w:fldCharType="end"/>
    </w:r>
  </w:p>
  <w:p>
    <w:pP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</w:rPr>
      <w:t>CONFIDENTIAL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JSSDWatermark2" o:spid="_x0000_s2051" type="#_x0000_t136" style="position:absolute;margin-left:0;margin-top:0;width:460pt;height:11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ONFIDENTIAL"/>
        </v:shape>
      </w:pict>
    </w:r>
  </w:p>
  <w:p>
    <w:pPr/>
  </w:p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mirrorMargin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before="0" w:after="0"/>
      <w:jc w:val="both"/>
    </w:pPr>
    <w:rPr>
      <w:rFonts w:ascii="Arial" w:hAnsi="Arial" w:eastAsia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