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作业相似性检测报告"/>
    <w:p>
      <w:pPr>
        <w:pStyle w:val="Heading1"/>
      </w:pPr>
      <w:r>
        <w:rPr>
          <w:rFonts w:hint="eastAsia"/>
        </w:rPr>
        <w:t xml:space="preserve">作业相似性检测报告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作业：</w:t>
      </w:r>
      <w:r>
        <w:rPr>
          <w:rFonts w:hint="eastAsia"/>
          <w:b/>
          <w:bCs/>
        </w:rPr>
        <w:t xml:space="preserve">第8次实验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算法与实现（演示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#8）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语言：</w:t>
      </w:r>
      <w:r>
        <w:rPr>
          <w:b/>
          <w:bCs/>
        </w:rPr>
        <w:t xml:space="preserve">python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生成时间：</w:t>
      </w:r>
      <w:r>
        <w:rPr>
          <w:b/>
          <w:bCs/>
        </w:rPr>
        <w:t xml:space="preserve">2026-04-27 17:36:39</w:t>
      </w:r>
    </w:p>
    <w:bookmarkStart w:id="9" w:name="概览"/>
    <w:p>
      <w:pPr>
        <w:pStyle w:val="Heading2"/>
      </w:pPr>
      <w:r>
        <w:rPr>
          <w:rFonts w:hint="eastAsia"/>
        </w:rPr>
        <w:t xml:space="preserve">概览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总比对数：</w:t>
      </w:r>
      <w:r>
        <w:rPr>
          <w:b/>
          <w:bCs/>
        </w:rPr>
        <w:t xml:space="preserve">34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有效评分数：</w:t>
      </w:r>
      <w:r>
        <w:rPr>
          <w:b/>
          <w:bCs/>
        </w:rPr>
        <w:t xml:space="preserve">34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平均相似度：</w:t>
      </w:r>
      <w:r>
        <w:rPr>
          <w:b/>
          <w:bCs/>
        </w:rPr>
        <w:t xml:space="preserve">89.18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最高相似度：</w:t>
      </w:r>
      <w:r>
        <w:rPr>
          <w:b/>
          <w:bCs/>
        </w:rPr>
        <w:t xml:space="preserve">100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最低相似度：</w:t>
      </w:r>
      <w:r>
        <w:rPr>
          <w:b/>
          <w:bCs/>
        </w:rPr>
        <w:t xml:space="preserve">40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高风险阈值：</w:t>
      </w:r>
      <w:r>
        <w:rPr>
          <w:b/>
          <w:bCs/>
        </w:rPr>
        <w:t xml:space="preserve">80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高风险对数量：</w:t>
      </w:r>
      <w:r>
        <w:rPr>
          <w:b/>
          <w:bCs/>
        </w:rPr>
        <w:t xml:space="preserve">28</w:t>
      </w:r>
    </w:p>
    <w:bookmarkEnd w:id="9"/>
    <w:bookmarkStart w:id="10" w:name="高风险对-top-20"/>
    <w:p>
      <w:pPr>
        <w:pStyle w:val="Heading2"/>
      </w:pPr>
      <w:r>
        <w:rPr>
          <w:rFonts w:hint="eastAsia"/>
        </w:rPr>
        <w:t xml:space="preserve">高风险对</w:t>
      </w:r>
      <w:r>
        <w:t xml:space="preserve"> Top 20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原因(摘要)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两段代码在逻辑流程、数据结构和关键算法上完全相同，都实现了从1到n的整数累加求和功能，仅函数名和默认值不同，但这些是表面差异，不影响核心逻辑。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两段代码在逻辑流程、数据结构和关键算法上完全相同，都是通过循环累加从1到n的整数之和。函数名和默认参数值的差异不影响核心功能实现。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两段代码在逻辑流程、数据结构和关键算法上完全相同，都实现了计算从1到n的整数之和的功能。默认参数值不同，但这不影响核心逻辑。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两段代码在核心功能、逻辑流程、数据结构和关键算法上完全相同，都是计算从1到n的整数累加和。唯一的差异是函数名和默认参数值，但这些是表面差异，不影响算法逻辑。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两段代码在逻辑流程、数据结构和关键算法上完全相同，都实现了从1到n的整数求和功能，差异仅在于函数名和默认参数值，这些是表面差异，不影响核心逻辑。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两段代码在逻辑流程、数据结构和关键算法上完全相同，都实现了计算从1到n的整数和的功能。唯一的区别是函数名和默认参数值，但这些是表面差异，不影响核心功能。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两段代码在核心逻辑上完全相同，都是计算从1到n的整数之和，使用相同的循环累加算法。函数名和默认参数值的差异是表面差异，不影响功能。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两段代码在核心功能、逻辑流程、数据结构和关键算法上完全相同，都实现了计算从1到n的整数和的算法，仅函数名和默认参数值不同，但这些是表面差异。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两段代码在核心功能、逻辑流程、数据结构和关键算法上完全相同，都是计算从1到n的整数之和。仅函数名和默认参数值不同，但这些是表面差异，不影响逻辑等价性。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两段代码在逻辑流程、数据结构和关键算法上完全相同，都是通过循环累加计算从1到n的整数之和。仅函数名和默认参数值不同，但属于表面差异，不影响核心功能。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两段代码在逻辑流程、数据结构和关键算法上完全相同，都实现了计算从1到n的整数和的功能，仅函数名和默认参数值不同，但这些是表面差异。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两段代码在逻辑流程、数据结构和关键算法上完全相同，都实现了计算从1到n的整数之和的功能。函数名和默认参数值是表面差异，不影响核心逻辑。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两段代码在逻辑流程、数据结构和关键算法上完全相同，都实现了计算从1到n的整数之和的功能，仅函数名和默认参数值不同，但这些是表面差异。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两段代码在逻辑流程、数据结构和关键算法上完全相同，都实现了计算从1到n的整数之和的功能。函数名和默认值的差异不影响核心逻辑。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两段代码在逻辑流程、数据结构和关键算法上完全相同，都实现了计算从1到n的整数之和的功能，仅函数名和默认参数值不同，但这些是表面差异。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两段代码在逻辑流程、数据结构和关键算法上完全相同，都是计算从1到n的整数之和。唯一的区别是函数名和默认参数值，但这些是表面差异，不影响核心功能。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两段代码的核心功能都是计算从1到n的整数和，逻辑流程、数据结构和关键算法完全相同，仅函数名和默认参数值不同，这些是表面差异，不影响逻辑等价性。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两段代码在逻辑流程、数据结构和关键算法上完全相同，都是计算从1到n的整数之和。唯一差异是函数名和默认参数值，但这些是表面差异，不影响核心功能。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两段代码在逻辑流程、数据结构和关键算法上完全相同，都是通过循环累加从1到n的整数（x**1等价于x）来计算总和。唯一的区别是函数名和默认参数值（49</w:t>
            </w:r>
            <w:r>
              <w:t xml:space="preserve"> vs </w:t>
            </w:r>
            <w:r>
              <w:rPr>
                <w:rFonts w:hint="eastAsia"/>
              </w:rPr>
              <w:t xml:space="preserve">22），但这些不影响核心算法逻辑。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两段代码在逻辑流程、数据结构和关键算法上完全相同，都是计算从1到n的整数和，仅函数名和默认参数值不同，但这些是表面差异，不影响核心功能。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</w:tbl>
    <w:bookmarkEnd w:id="10"/>
    <w:bookmarkStart w:id="11" w:name="全部结果-top-20"/>
    <w:p>
      <w:pPr>
        <w:pStyle w:val="Heading2"/>
      </w:pPr>
      <w:r>
        <w:rPr>
          <w:rFonts w:hint="eastAsia"/>
        </w:rPr>
        <w:t xml:space="preserve">全部结果</w:t>
      </w:r>
      <w:r>
        <w:t xml:space="preserve"> Top 20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原因(摘要)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两段代码在逻辑流程、数据结构和关键算法上完全相同，都实现了从1到n的整数累加求和功能，仅函数名和默认值不同，但这些是表面差异，不影响核心逻辑。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两段代码在逻辑流程、数据结构和关键算法上完全相同，都是通过循环累加从1到n的整数之和。函数名和默认参数值的差异不影响核心功能实现。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两段代码在逻辑流程、数据结构和关键算法上完全相同，都实现了计算从1到n的整数之和的功能。默认参数值不同，但这不影响核心逻辑。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两段代码在核心功能、逻辑流程、数据结构和关键算法上完全相同，都是计算从1到n的整数累加和。唯一的差异是函数名和默认参数值，但这些是表面差异，不影响算法逻辑。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两段代码在逻辑流程、数据结构和关键算法上完全相同，都实现了从1到n的整数求和功能，差异仅在于函数名和默认参数值，这些是表面差异，不影响核心逻辑。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两段代码在逻辑流程、数据结构和关键算法上完全相同，都实现了计算从1到n的整数和的功能。唯一的区别是函数名和默认参数值，但这些是表面差异，不影响核心功能。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两段代码在核心逻辑上完全相同，都是计算从1到n的整数之和，使用相同的循环累加算法。函数名和默认参数值的差异是表面差异，不影响功能。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两段代码在核心功能、逻辑流程、数据结构和关键算法上完全相同，都实现了计算从1到n的整数和的算法，仅函数名和默认参数值不同，但这些是表面差异。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两段代码在核心功能、逻辑流程、数据结构和关键算法上完全相同，都是计算从1到n的整数之和。仅函数名和默认参数值不同，但这些是表面差异，不影响逻辑等价性。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两段代码在逻辑流程、数据结构和关键算法上完全相同，都是通过循环累加计算从1到n的整数之和。仅函数名和默认参数值不同，但属于表面差异，不影响核心功能。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两段代码在逻辑流程、数据结构和关键算法上完全相同，都实现了计算从1到n的整数和的功能，仅函数名和默认参数值不同，但这些是表面差异。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两段代码在逻辑流程、数据结构和关键算法上完全相同，都实现了计算从1到n的整数之和的功能。函数名和默认参数值是表面差异，不影响核心逻辑。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两段代码在逻辑流程、数据结构和关键算法上完全相同，都实现了计算从1到n的整数之和的功能，仅函数名和默认参数值不同，但这些是表面差异。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两段代码在逻辑流程、数据结构和关键算法上完全相同，都实现了计算从1到n的整数之和的功能。函数名和默认值的差异不影响核心逻辑。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两段代码在逻辑流程、数据结构和关键算法上完全相同，都实现了计算从1到n的整数之和的功能，仅函数名和默认参数值不同，但这些是表面差异。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两段代码在逻辑流程、数据结构和关键算法上完全相同，都是计算从1到n的整数之和。唯一的区别是函数名和默认参数值，但这些是表面差异，不影响核心功能。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两段代码的核心功能都是计算从1到n的整数和，逻辑流程、数据结构和关键算法完全相同，仅函数名和默认参数值不同，这些是表面差异，不影响逻辑等价性。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两段代码在逻辑流程、数据结构和关键算法上完全相同，都是计算从1到n的整数之和。唯一差异是函数名和默认参数值，但这些是表面差异，不影响核心功能。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两段代码在逻辑流程、数据结构和关键算法上完全相同，都是通过循环累加从1到n的整数（x**1等价于x）来计算总和。唯一的区别是函数名和默认参数值（49</w:t>
            </w:r>
            <w:r>
              <w:t xml:space="preserve"> vs </w:t>
            </w:r>
            <w:r>
              <w:rPr>
                <w:rFonts w:hint="eastAsia"/>
              </w:rPr>
              <w:t xml:space="preserve">22），但这些不影响核心算法逻辑。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两段代码在逻辑流程、数据结构和关键算法上完全相同，都是计算从1到n的整数和，仅函数名和默认参数值不同，但这些是表面差异，不影响核心功能。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2026-04-27T09:36:39Z</dcterms:created>
  <dcterms:modified xsi:type="dcterms:W3CDTF">2026-04-27T09:36:39Z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