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2B631" w14:textId="77777777" w:rsidR="008C58A4" w:rsidRPr="008C58A4" w:rsidRDefault="008C58A4" w:rsidP="008C58A4">
      <w:pPr>
        <w:jc w:val="center"/>
        <w:rPr>
          <w:rFonts w:ascii="Arial" w:hAnsi="Arial" w:cs="Arial"/>
          <w:b/>
          <w:bCs/>
          <w:color w:val="215E99" w:themeColor="text2" w:themeTint="BF"/>
          <w:sz w:val="40"/>
          <w:szCs w:val="40"/>
        </w:rPr>
      </w:pPr>
      <w:r w:rsidRPr="008C58A4">
        <w:rPr>
          <w:rFonts w:ascii="Arial" w:hAnsi="Arial" w:cs="Arial"/>
          <w:b/>
          <w:bCs/>
          <w:color w:val="215E99" w:themeColor="text2" w:themeTint="BF"/>
          <w:sz w:val="40"/>
          <w:szCs w:val="40"/>
        </w:rPr>
        <w:t>Customer Churn Prediction - Machine Learning Case Study</w:t>
      </w:r>
    </w:p>
    <w:p w14:paraId="63904A88" w14:textId="77777777" w:rsidR="008C58A4" w:rsidRDefault="008C58A4"/>
    <w:p w14:paraId="044CE941" w14:textId="77777777" w:rsidR="008C58A4" w:rsidRPr="008C58A4" w:rsidRDefault="008C58A4" w:rsidP="008C58A4">
      <w:pPr>
        <w:rPr>
          <w:rFonts w:ascii="Arial" w:hAnsi="Arial" w:cs="Arial"/>
        </w:rPr>
      </w:pPr>
      <w:r w:rsidRPr="008C58A4">
        <w:rPr>
          <w:rFonts w:ascii="Segoe UI Emoji" w:hAnsi="Segoe UI Emoji" w:cs="Segoe UI Emoji"/>
        </w:rPr>
        <w:t>📎</w:t>
      </w:r>
      <w:r w:rsidRPr="008C58A4">
        <w:rPr>
          <w:rFonts w:ascii="Arial" w:hAnsi="Arial" w:cs="Arial"/>
        </w:rPr>
        <w:t xml:space="preserve"> </w:t>
      </w:r>
      <w:r w:rsidRPr="008C58A4">
        <w:rPr>
          <w:rFonts w:ascii="Arial" w:hAnsi="Arial" w:cs="Arial"/>
          <w:b/>
          <w:bCs/>
          <w:color w:val="747474" w:themeColor="background2" w:themeShade="80"/>
        </w:rPr>
        <w:t>Executive Panic Memo</w:t>
      </w:r>
    </w:p>
    <w:p w14:paraId="159D1E69" w14:textId="77777777" w:rsidR="008C58A4" w:rsidRPr="008C58A4" w:rsidRDefault="008C58A4" w:rsidP="008C58A4">
      <w:pPr>
        <w:jc w:val="both"/>
        <w:rPr>
          <w:rFonts w:ascii="Arial" w:hAnsi="Arial" w:cs="Arial"/>
        </w:rPr>
      </w:pPr>
      <w:r w:rsidRPr="008C58A4">
        <w:rPr>
          <w:rFonts w:ascii="Arial" w:hAnsi="Arial" w:cs="Arial"/>
          <w:i/>
          <w:iCs/>
        </w:rPr>
        <w:t>"Our customers are ghosting us. Our Fiber users are fleeing. Someone just called our billing experience ‘financial horror.’ If we don't act now, I might have to start doing TikTok dances to retain users."</w:t>
      </w:r>
    </w:p>
    <w:p w14:paraId="47A453AC" w14:textId="77777777" w:rsidR="008C58A4" w:rsidRPr="008C58A4" w:rsidRDefault="008C58A4" w:rsidP="008C58A4">
      <w:pPr>
        <w:rPr>
          <w:rFonts w:ascii="Arial" w:hAnsi="Arial" w:cs="Arial"/>
        </w:rPr>
      </w:pPr>
      <w:r w:rsidRPr="008C58A4">
        <w:rPr>
          <w:rFonts w:ascii="Arial" w:hAnsi="Arial" w:cs="Arial"/>
        </w:rPr>
        <w:t xml:space="preserve">— Anonymous Stakeholder, </w:t>
      </w:r>
      <w:proofErr w:type="gramStart"/>
      <w:r w:rsidRPr="008C58A4">
        <w:rPr>
          <w:rFonts w:ascii="Arial" w:hAnsi="Arial" w:cs="Arial"/>
        </w:rPr>
        <w:t>Definitely Real</w:t>
      </w:r>
      <w:proofErr w:type="gramEnd"/>
    </w:p>
    <w:p w14:paraId="1E91893A" w14:textId="77777777" w:rsidR="008C58A4" w:rsidRDefault="008C58A4">
      <w:pPr>
        <w:rPr>
          <w:rFonts w:ascii="Arial" w:hAnsi="Arial" w:cs="Arial"/>
        </w:rPr>
      </w:pPr>
    </w:p>
    <w:p w14:paraId="1C45DD49" w14:textId="3F46EA26" w:rsidR="008C58A4" w:rsidRDefault="008C58A4" w:rsidP="008C58A4">
      <w:pPr>
        <w:jc w:val="both"/>
        <w:rPr>
          <w:rFonts w:ascii="Arial" w:hAnsi="Arial" w:cs="Arial"/>
        </w:rPr>
      </w:pPr>
      <w:r w:rsidRPr="008C58A4">
        <w:rPr>
          <w:rFonts w:ascii="Arial" w:hAnsi="Arial" w:cs="Arial"/>
          <w:b/>
          <w:bCs/>
          <w:color w:val="4C94D8" w:themeColor="text2" w:themeTint="80"/>
        </w:rPr>
        <w:t>Business Objective:</w:t>
      </w:r>
      <w:r w:rsidRPr="008C58A4">
        <w:rPr>
          <w:rFonts w:ascii="Arial" w:hAnsi="Arial" w:cs="Arial"/>
          <w:color w:val="4C94D8" w:themeColor="text2" w:themeTint="80"/>
        </w:rPr>
        <w:t xml:space="preserve"> </w:t>
      </w:r>
      <w:r w:rsidRPr="008C58A4">
        <w:rPr>
          <w:rFonts w:ascii="Arial" w:hAnsi="Arial" w:cs="Arial"/>
        </w:rPr>
        <w:t xml:space="preserve">Predict churn and identify drivers to help the marketing team reduce customer loss and increase retention. </w:t>
      </w:r>
    </w:p>
    <w:p w14:paraId="1D34B2A3" w14:textId="77777777" w:rsidR="008C58A4" w:rsidRDefault="008C58A4" w:rsidP="008C58A4">
      <w:pPr>
        <w:jc w:val="both"/>
        <w:rPr>
          <w:rFonts w:ascii="Arial" w:hAnsi="Arial" w:cs="Arial"/>
        </w:rPr>
      </w:pPr>
    </w:p>
    <w:p w14:paraId="67495DB7" w14:textId="5E166BDC" w:rsidR="008C58A4" w:rsidRDefault="008C58A4" w:rsidP="008C58A4">
      <w:pPr>
        <w:jc w:val="both"/>
        <w:rPr>
          <w:rFonts w:ascii="Arial" w:hAnsi="Arial" w:cs="Arial"/>
        </w:rPr>
      </w:pPr>
      <w:r w:rsidRPr="008C58A4">
        <w:rPr>
          <w:rFonts w:ascii="Arial" w:hAnsi="Arial" w:cs="Arial"/>
          <w:b/>
          <w:bCs/>
          <w:color w:val="4C94D8" w:themeColor="text2" w:themeTint="80"/>
        </w:rPr>
        <w:t>Dataset:</w:t>
      </w:r>
      <w:r w:rsidRPr="008C58A4">
        <w:rPr>
          <w:rFonts w:ascii="Arial" w:hAnsi="Arial" w:cs="Arial"/>
          <w:color w:val="4C94D8" w:themeColor="text2" w:themeTint="80"/>
        </w:rPr>
        <w:t xml:space="preserve"> </w:t>
      </w:r>
      <w:r w:rsidRPr="008C58A4">
        <w:rPr>
          <w:rFonts w:ascii="Arial" w:hAnsi="Arial" w:cs="Arial"/>
        </w:rPr>
        <w:t>Telco Customer Churn from Kaggle. 7,043 customer records including services, account info, and churn labels.</w:t>
      </w:r>
    </w:p>
    <w:p w14:paraId="2010A440" w14:textId="77777777" w:rsidR="008C58A4" w:rsidRDefault="008C58A4" w:rsidP="008C58A4">
      <w:pPr>
        <w:jc w:val="both"/>
        <w:rPr>
          <w:rFonts w:ascii="Arial" w:hAnsi="Arial" w:cs="Arial"/>
        </w:rPr>
      </w:pPr>
    </w:p>
    <w:p w14:paraId="130C1B20" w14:textId="3AC716D8" w:rsidR="008C58A4" w:rsidRPr="008C58A4" w:rsidRDefault="008C58A4" w:rsidP="008C58A4">
      <w:pPr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8C58A4">
        <w:rPr>
          <w:rFonts w:ascii="Arial" w:hAnsi="Arial" w:cs="Arial"/>
          <w:b/>
          <w:bCs/>
          <w:color w:val="4C94D8" w:themeColor="text2" w:themeTint="80"/>
        </w:rPr>
        <w:t>Model Summary:</w:t>
      </w:r>
    </w:p>
    <w:tbl>
      <w:tblPr>
        <w:tblStyle w:val="GridTable5Dark"/>
        <w:tblW w:w="9564" w:type="dxa"/>
        <w:tblLook w:val="04A0" w:firstRow="1" w:lastRow="0" w:firstColumn="1" w:lastColumn="0" w:noHBand="0" w:noVBand="1"/>
      </w:tblPr>
      <w:tblGrid>
        <w:gridCol w:w="2942"/>
        <w:gridCol w:w="1531"/>
        <w:gridCol w:w="1532"/>
        <w:gridCol w:w="1124"/>
        <w:gridCol w:w="1515"/>
        <w:gridCol w:w="920"/>
      </w:tblGrid>
      <w:tr w:rsidR="008C58A4" w14:paraId="164622F6" w14:textId="77777777" w:rsidTr="008C58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88F9E3" w14:textId="0D60D1BF" w:rsidR="008C58A4" w:rsidRDefault="008C58A4" w:rsidP="008C58A4">
            <w:pPr>
              <w:jc w:val="both"/>
              <w:rPr>
                <w:rFonts w:ascii="Arial" w:hAnsi="Arial" w:cs="Arial"/>
                <w:b w:val="0"/>
                <w:bCs w:val="0"/>
              </w:rPr>
            </w:pPr>
            <w:r w:rsidRPr="008C58A4">
              <w:rPr>
                <w:rFonts w:ascii="Arial" w:hAnsi="Arial" w:cs="Arial"/>
                <w:b w:val="0"/>
                <w:bCs w:val="0"/>
              </w:rPr>
              <w:t>Model</w:t>
            </w:r>
          </w:p>
        </w:tc>
        <w:tc>
          <w:tcPr>
            <w:tcW w:w="0" w:type="auto"/>
          </w:tcPr>
          <w:p w14:paraId="76E77223" w14:textId="7A3FC75B" w:rsidR="008C58A4" w:rsidRDefault="008C58A4" w:rsidP="008C58A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8C58A4">
              <w:rPr>
                <w:rFonts w:ascii="Arial" w:hAnsi="Arial" w:cs="Arial"/>
                <w:b w:val="0"/>
                <w:bCs w:val="0"/>
              </w:rPr>
              <w:t>Accuracy</w:t>
            </w:r>
          </w:p>
        </w:tc>
        <w:tc>
          <w:tcPr>
            <w:tcW w:w="0" w:type="auto"/>
          </w:tcPr>
          <w:p w14:paraId="28129AC2" w14:textId="3F73FC9F" w:rsidR="008C58A4" w:rsidRDefault="008C58A4" w:rsidP="008C58A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8C58A4">
              <w:rPr>
                <w:rFonts w:ascii="Arial" w:hAnsi="Arial" w:cs="Arial"/>
                <w:b w:val="0"/>
                <w:bCs w:val="0"/>
              </w:rPr>
              <w:t>Precision</w:t>
            </w:r>
          </w:p>
        </w:tc>
        <w:tc>
          <w:tcPr>
            <w:tcW w:w="0" w:type="auto"/>
          </w:tcPr>
          <w:p w14:paraId="6CC7C9A2" w14:textId="7AE2348A" w:rsidR="008C58A4" w:rsidRDefault="008C58A4" w:rsidP="008C58A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8C58A4">
              <w:rPr>
                <w:rFonts w:ascii="Arial" w:hAnsi="Arial" w:cs="Arial"/>
                <w:b w:val="0"/>
                <w:bCs w:val="0"/>
              </w:rPr>
              <w:t>Recall</w:t>
            </w:r>
          </w:p>
        </w:tc>
        <w:tc>
          <w:tcPr>
            <w:tcW w:w="0" w:type="auto"/>
          </w:tcPr>
          <w:p w14:paraId="478F3ECB" w14:textId="118A78F0" w:rsidR="008C58A4" w:rsidRDefault="008C58A4" w:rsidP="008C58A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8C58A4">
              <w:rPr>
                <w:rFonts w:ascii="Arial" w:hAnsi="Arial" w:cs="Arial"/>
                <w:b w:val="0"/>
                <w:bCs w:val="0"/>
              </w:rPr>
              <w:t>F1 Score</w:t>
            </w:r>
          </w:p>
        </w:tc>
        <w:tc>
          <w:tcPr>
            <w:tcW w:w="0" w:type="auto"/>
          </w:tcPr>
          <w:p w14:paraId="5D68BDCC" w14:textId="5F732CBA" w:rsidR="008C58A4" w:rsidRDefault="008C58A4" w:rsidP="008C58A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8C58A4">
              <w:rPr>
                <w:rFonts w:ascii="Arial" w:hAnsi="Arial" w:cs="Arial"/>
                <w:b w:val="0"/>
                <w:bCs w:val="0"/>
              </w:rPr>
              <w:t>AUC</w:t>
            </w:r>
          </w:p>
        </w:tc>
      </w:tr>
      <w:tr w:rsidR="008C58A4" w14:paraId="0A66832B" w14:textId="77777777" w:rsidTr="008C5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B807C5" w14:textId="0CD197B2" w:rsidR="008C58A4" w:rsidRDefault="008C58A4" w:rsidP="008C58A4">
            <w:pPr>
              <w:jc w:val="both"/>
              <w:rPr>
                <w:rFonts w:ascii="Arial" w:hAnsi="Arial" w:cs="Arial"/>
                <w:b w:val="0"/>
                <w:bCs w:val="0"/>
              </w:rPr>
            </w:pPr>
            <w:r w:rsidRPr="008C58A4">
              <w:rPr>
                <w:rFonts w:ascii="Arial" w:hAnsi="Arial" w:cs="Arial"/>
                <w:b w:val="0"/>
                <w:bCs w:val="0"/>
              </w:rPr>
              <w:t>Logistic Regression</w:t>
            </w:r>
          </w:p>
        </w:tc>
        <w:tc>
          <w:tcPr>
            <w:tcW w:w="0" w:type="auto"/>
          </w:tcPr>
          <w:p w14:paraId="7E0EC038" w14:textId="3DCE3ED4" w:rsidR="008C58A4" w:rsidRDefault="008C58A4" w:rsidP="008C58A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8C58A4">
              <w:rPr>
                <w:rFonts w:ascii="Arial" w:hAnsi="Arial" w:cs="Arial"/>
                <w:b/>
                <w:bCs/>
              </w:rPr>
              <w:t>80.5%</w:t>
            </w:r>
          </w:p>
        </w:tc>
        <w:tc>
          <w:tcPr>
            <w:tcW w:w="0" w:type="auto"/>
          </w:tcPr>
          <w:p w14:paraId="16F11244" w14:textId="68D31581" w:rsidR="008C58A4" w:rsidRDefault="008C58A4" w:rsidP="008C58A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8C58A4">
              <w:rPr>
                <w:rFonts w:ascii="Arial" w:hAnsi="Arial" w:cs="Arial"/>
                <w:b/>
                <w:bCs/>
              </w:rPr>
              <w:t>0.65</w:t>
            </w:r>
          </w:p>
        </w:tc>
        <w:tc>
          <w:tcPr>
            <w:tcW w:w="0" w:type="auto"/>
          </w:tcPr>
          <w:p w14:paraId="3956802A" w14:textId="651AF890" w:rsidR="008C58A4" w:rsidRDefault="008C58A4" w:rsidP="008C58A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8C58A4">
              <w:rPr>
                <w:rFonts w:ascii="Arial" w:hAnsi="Arial" w:cs="Arial"/>
                <w:b/>
                <w:bCs/>
              </w:rPr>
              <w:t>0.57</w:t>
            </w:r>
          </w:p>
        </w:tc>
        <w:tc>
          <w:tcPr>
            <w:tcW w:w="0" w:type="auto"/>
          </w:tcPr>
          <w:p w14:paraId="467F8D58" w14:textId="7CC5BB85" w:rsidR="008C58A4" w:rsidRDefault="008C58A4" w:rsidP="008C58A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8C58A4">
              <w:rPr>
                <w:rFonts w:ascii="Arial" w:hAnsi="Arial" w:cs="Arial"/>
                <w:b/>
                <w:bCs/>
              </w:rPr>
              <w:t>0.61</w:t>
            </w:r>
          </w:p>
        </w:tc>
        <w:tc>
          <w:tcPr>
            <w:tcW w:w="0" w:type="auto"/>
          </w:tcPr>
          <w:p w14:paraId="265E4AC1" w14:textId="649C1372" w:rsidR="008C58A4" w:rsidRDefault="008C58A4" w:rsidP="008C58A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8C58A4">
              <w:rPr>
                <w:rFonts w:ascii="Arial" w:hAnsi="Arial" w:cs="Arial"/>
                <w:b/>
                <w:bCs/>
              </w:rPr>
              <w:t>0.84</w:t>
            </w:r>
          </w:p>
        </w:tc>
      </w:tr>
      <w:tr w:rsidR="008C58A4" w14:paraId="791F972D" w14:textId="77777777" w:rsidTr="008C58A4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C2ACD0" w14:textId="62326774" w:rsidR="008C58A4" w:rsidRDefault="008C58A4" w:rsidP="008C58A4">
            <w:pPr>
              <w:jc w:val="both"/>
              <w:rPr>
                <w:rFonts w:ascii="Arial" w:hAnsi="Arial" w:cs="Arial"/>
                <w:b w:val="0"/>
                <w:bCs w:val="0"/>
              </w:rPr>
            </w:pPr>
            <w:r w:rsidRPr="008C58A4">
              <w:rPr>
                <w:rFonts w:ascii="Arial" w:hAnsi="Arial" w:cs="Arial"/>
                <w:b w:val="0"/>
                <w:bCs w:val="0"/>
              </w:rPr>
              <w:t>Random Forest</w:t>
            </w:r>
          </w:p>
        </w:tc>
        <w:tc>
          <w:tcPr>
            <w:tcW w:w="0" w:type="auto"/>
          </w:tcPr>
          <w:p w14:paraId="5C6C7723" w14:textId="40A2E1C2" w:rsidR="008C58A4" w:rsidRDefault="008C58A4" w:rsidP="008C58A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8C58A4">
              <w:rPr>
                <w:rFonts w:ascii="Arial" w:hAnsi="Arial" w:cs="Arial"/>
                <w:b/>
                <w:bCs/>
              </w:rPr>
              <w:t>78.9%</w:t>
            </w:r>
          </w:p>
        </w:tc>
        <w:tc>
          <w:tcPr>
            <w:tcW w:w="0" w:type="auto"/>
          </w:tcPr>
          <w:p w14:paraId="48234FCF" w14:textId="29A11BFD" w:rsidR="008C58A4" w:rsidRDefault="008C58A4" w:rsidP="008C58A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8C58A4">
              <w:rPr>
                <w:rFonts w:ascii="Arial" w:hAnsi="Arial" w:cs="Arial"/>
                <w:b/>
                <w:bCs/>
              </w:rPr>
              <w:t>0.63</w:t>
            </w:r>
          </w:p>
        </w:tc>
        <w:tc>
          <w:tcPr>
            <w:tcW w:w="0" w:type="auto"/>
          </w:tcPr>
          <w:p w14:paraId="0DB986BA" w14:textId="6D52736B" w:rsidR="008C58A4" w:rsidRDefault="008C58A4" w:rsidP="008C58A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8C58A4">
              <w:rPr>
                <w:rFonts w:ascii="Arial" w:hAnsi="Arial" w:cs="Arial"/>
                <w:b/>
                <w:bCs/>
              </w:rPr>
              <w:t>0.52</w:t>
            </w:r>
          </w:p>
        </w:tc>
        <w:tc>
          <w:tcPr>
            <w:tcW w:w="0" w:type="auto"/>
          </w:tcPr>
          <w:p w14:paraId="21724ED6" w14:textId="2AA8BBA0" w:rsidR="008C58A4" w:rsidRDefault="008C58A4" w:rsidP="008C58A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8C58A4">
              <w:rPr>
                <w:rFonts w:ascii="Arial" w:hAnsi="Arial" w:cs="Arial"/>
                <w:b/>
                <w:bCs/>
              </w:rPr>
              <w:t>0.57</w:t>
            </w:r>
          </w:p>
        </w:tc>
        <w:tc>
          <w:tcPr>
            <w:tcW w:w="0" w:type="auto"/>
          </w:tcPr>
          <w:p w14:paraId="3947233C" w14:textId="1FFDEFF7" w:rsidR="008C58A4" w:rsidRDefault="008C58A4" w:rsidP="008C58A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8C58A4">
              <w:rPr>
                <w:rFonts w:ascii="Arial" w:hAnsi="Arial" w:cs="Arial"/>
                <w:b/>
                <w:bCs/>
              </w:rPr>
              <w:t>0.82</w:t>
            </w:r>
          </w:p>
        </w:tc>
      </w:tr>
    </w:tbl>
    <w:p w14:paraId="4431D5CB" w14:textId="77777777" w:rsidR="008C58A4" w:rsidRDefault="008C58A4" w:rsidP="008C58A4">
      <w:pPr>
        <w:jc w:val="both"/>
        <w:rPr>
          <w:rFonts w:ascii="Arial" w:hAnsi="Arial" w:cs="Arial"/>
          <w:b/>
          <w:bCs/>
        </w:rPr>
      </w:pPr>
    </w:p>
    <w:p w14:paraId="3975A47E" w14:textId="77777777" w:rsidR="008C58A4" w:rsidRPr="008C58A4" w:rsidRDefault="008C58A4" w:rsidP="008C58A4">
      <w:pPr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8C58A4">
        <w:rPr>
          <w:rFonts w:ascii="Arial" w:hAnsi="Arial" w:cs="Arial"/>
          <w:b/>
          <w:bCs/>
          <w:color w:val="4C94D8" w:themeColor="text2" w:themeTint="80"/>
        </w:rPr>
        <w:t xml:space="preserve">Top Drivers of Churn: </w:t>
      </w:r>
    </w:p>
    <w:p w14:paraId="1A08AF23" w14:textId="190F8A5E" w:rsidR="008C58A4" w:rsidRPr="008C58A4" w:rsidRDefault="008C58A4" w:rsidP="008C58A4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8C58A4">
        <w:rPr>
          <w:rFonts w:ascii="Arial" w:hAnsi="Arial" w:cs="Arial"/>
        </w:rPr>
        <w:t xml:space="preserve">High </w:t>
      </w:r>
      <w:r w:rsidRPr="008C58A4">
        <w:rPr>
          <w:rFonts w:ascii="Arial" w:hAnsi="Arial" w:cs="Arial"/>
        </w:rPr>
        <w:t>Total Charges</w:t>
      </w:r>
      <w:r w:rsidRPr="008C58A4">
        <w:rPr>
          <w:rFonts w:ascii="Arial" w:hAnsi="Arial" w:cs="Arial"/>
        </w:rPr>
        <w:t xml:space="preserve">, </w:t>
      </w:r>
      <w:r w:rsidRPr="008C58A4">
        <w:rPr>
          <w:rFonts w:ascii="Arial" w:hAnsi="Arial" w:cs="Arial"/>
        </w:rPr>
        <w:t>Monthly Charges</w:t>
      </w:r>
      <w:r w:rsidRPr="008C58A4">
        <w:rPr>
          <w:rFonts w:ascii="Arial" w:hAnsi="Arial" w:cs="Arial"/>
        </w:rPr>
        <w:t xml:space="preserve"> and short tenure strongly predict churn. </w:t>
      </w:r>
    </w:p>
    <w:p w14:paraId="24DD68A8" w14:textId="185BB1C0" w:rsidR="008C58A4" w:rsidRPr="008C58A4" w:rsidRDefault="008C58A4" w:rsidP="008C58A4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8C58A4">
        <w:rPr>
          <w:rFonts w:ascii="Arial" w:hAnsi="Arial" w:cs="Arial"/>
        </w:rPr>
        <w:t xml:space="preserve">Fiber optic users and electronic check payments are high-risk segments. </w:t>
      </w:r>
    </w:p>
    <w:p w14:paraId="388D0F29" w14:textId="7EAF394C" w:rsidR="008C58A4" w:rsidRDefault="008C58A4" w:rsidP="008C58A4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8C58A4">
        <w:rPr>
          <w:rFonts w:ascii="Arial" w:hAnsi="Arial" w:cs="Arial"/>
        </w:rPr>
        <w:t xml:space="preserve">Customers with </w:t>
      </w:r>
      <w:r w:rsidRPr="008C58A4">
        <w:rPr>
          <w:rFonts w:ascii="Arial" w:hAnsi="Arial" w:cs="Arial"/>
        </w:rPr>
        <w:t>Online Security</w:t>
      </w:r>
      <w:r w:rsidRPr="008C58A4">
        <w:rPr>
          <w:rFonts w:ascii="Arial" w:hAnsi="Arial" w:cs="Arial"/>
        </w:rPr>
        <w:t xml:space="preserve"> and </w:t>
      </w:r>
      <w:r w:rsidRPr="008C58A4">
        <w:rPr>
          <w:rFonts w:ascii="Arial" w:hAnsi="Arial" w:cs="Arial"/>
        </w:rPr>
        <w:t>Tech Support</w:t>
      </w:r>
      <w:r w:rsidRPr="008C58A4">
        <w:rPr>
          <w:rFonts w:ascii="Arial" w:hAnsi="Arial" w:cs="Arial"/>
        </w:rPr>
        <w:t xml:space="preserve"> tend to stay longer.</w:t>
      </w:r>
    </w:p>
    <w:p w14:paraId="5C1F6739" w14:textId="77777777" w:rsidR="00CA20D8" w:rsidRPr="00CA20D8" w:rsidRDefault="00CA20D8" w:rsidP="00CA20D8">
      <w:pPr>
        <w:ind w:left="360"/>
        <w:jc w:val="both"/>
        <w:rPr>
          <w:rFonts w:ascii="Arial" w:hAnsi="Arial" w:cs="Arial"/>
        </w:rPr>
      </w:pPr>
    </w:p>
    <w:p w14:paraId="600AF182" w14:textId="77777777" w:rsidR="008C58A4" w:rsidRPr="00CA20D8" w:rsidRDefault="008C58A4" w:rsidP="008C58A4">
      <w:pPr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CA20D8">
        <w:rPr>
          <w:rFonts w:ascii="Arial" w:hAnsi="Arial" w:cs="Arial"/>
          <w:b/>
          <w:bCs/>
          <w:color w:val="4C94D8" w:themeColor="text2" w:themeTint="80"/>
        </w:rPr>
        <w:t xml:space="preserve">Recommendations: </w:t>
      </w:r>
    </w:p>
    <w:p w14:paraId="0EAC3E36" w14:textId="73015DA5" w:rsidR="008C58A4" w:rsidRPr="008C58A4" w:rsidRDefault="008C58A4" w:rsidP="008C58A4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8C58A4">
        <w:rPr>
          <w:rFonts w:ascii="Arial" w:hAnsi="Arial" w:cs="Arial"/>
        </w:rPr>
        <w:t xml:space="preserve">Target new customers in their first 6 months with </w:t>
      </w:r>
      <w:r w:rsidR="00CA20D8" w:rsidRPr="00CA20D8">
        <w:rPr>
          <w:rFonts w:ascii="Arial" w:hAnsi="Arial" w:cs="Arial"/>
        </w:rPr>
        <w:t>loyalty incentives during the first 6 months (e.g. cashback, support check-ins).</w:t>
      </w:r>
    </w:p>
    <w:p w14:paraId="117FAEDB" w14:textId="315FC71D" w:rsidR="008C58A4" w:rsidRPr="008C58A4" w:rsidRDefault="008C58A4" w:rsidP="008C58A4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8C58A4">
        <w:rPr>
          <w:rFonts w:ascii="Arial" w:hAnsi="Arial" w:cs="Arial"/>
        </w:rPr>
        <w:t xml:space="preserve">Offer </w:t>
      </w:r>
      <w:r w:rsidR="00CA20D8" w:rsidRPr="00CA20D8">
        <w:rPr>
          <w:rFonts w:ascii="Arial" w:hAnsi="Arial" w:cs="Arial"/>
        </w:rPr>
        <w:t>personalized plans or bundled discounts</w:t>
      </w:r>
      <w:r w:rsidRPr="008C58A4">
        <w:rPr>
          <w:rFonts w:ascii="Arial" w:hAnsi="Arial" w:cs="Arial"/>
        </w:rPr>
        <w:t xml:space="preserve"> to high-spending customers</w:t>
      </w:r>
      <w:r w:rsidR="00CA20D8">
        <w:rPr>
          <w:rFonts w:ascii="Arial" w:hAnsi="Arial" w:cs="Arial"/>
        </w:rPr>
        <w:t xml:space="preserve"> </w:t>
      </w:r>
      <w:r w:rsidR="00CA20D8" w:rsidRPr="00CA20D8">
        <w:rPr>
          <w:rFonts w:ascii="Arial" w:hAnsi="Arial" w:cs="Arial"/>
        </w:rPr>
        <w:t>to reduce perception of high cost</w:t>
      </w:r>
      <w:r w:rsidRPr="008C58A4">
        <w:rPr>
          <w:rFonts w:ascii="Arial" w:hAnsi="Arial" w:cs="Arial"/>
        </w:rPr>
        <w:t xml:space="preserve">. </w:t>
      </w:r>
    </w:p>
    <w:p w14:paraId="33714D56" w14:textId="77777777" w:rsidR="00CA20D8" w:rsidRDefault="00CA20D8" w:rsidP="008C58A4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CA20D8">
        <w:rPr>
          <w:rFonts w:ascii="Arial" w:hAnsi="Arial" w:cs="Arial"/>
        </w:rPr>
        <w:t>Investigate service quality, outage reports, or customer complaints related to Fiber.</w:t>
      </w:r>
    </w:p>
    <w:p w14:paraId="09696F33" w14:textId="4642636F" w:rsidR="008C58A4" w:rsidRDefault="00CA20D8" w:rsidP="00CA20D8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CA20D8">
        <w:rPr>
          <w:rFonts w:ascii="Arial" w:hAnsi="Arial" w:cs="Arial"/>
        </w:rPr>
        <w:lastRenderedPageBreak/>
        <w:t xml:space="preserve">Encourage </w:t>
      </w:r>
      <w:r w:rsidRPr="00CA20D8">
        <w:rPr>
          <w:rFonts w:ascii="Arial" w:hAnsi="Arial" w:cs="Arial"/>
        </w:rPr>
        <w:t>autopay</w:t>
      </w:r>
      <w:r w:rsidRPr="00CA20D8">
        <w:rPr>
          <w:rFonts w:ascii="Arial" w:hAnsi="Arial" w:cs="Arial"/>
        </w:rPr>
        <w:t xml:space="preserve"> or credit card options through reward points or small discounts.</w:t>
      </w:r>
    </w:p>
    <w:p w14:paraId="27970119" w14:textId="78FC309C" w:rsidR="00CA20D8" w:rsidRDefault="00CA20D8" w:rsidP="00CA20D8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CA20D8">
        <w:rPr>
          <w:rFonts w:ascii="Arial" w:hAnsi="Arial" w:cs="Arial"/>
        </w:rPr>
        <w:t>Upsell Online Security, Tech Support and Paperless Billing services during onboarding or renewal. Highlight their value.</w:t>
      </w:r>
    </w:p>
    <w:p w14:paraId="56194875" w14:textId="77777777" w:rsidR="00CA20D8" w:rsidRDefault="00CA20D8" w:rsidP="00CA20D8">
      <w:pPr>
        <w:jc w:val="both"/>
        <w:rPr>
          <w:rFonts w:ascii="Arial" w:hAnsi="Arial" w:cs="Arial"/>
        </w:rPr>
      </w:pPr>
    </w:p>
    <w:p w14:paraId="26B7E9B6" w14:textId="1D9974B5" w:rsidR="00CA20D8" w:rsidRDefault="00CA20D8" w:rsidP="00CA20D8">
      <w:pPr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CA20D8">
        <w:rPr>
          <w:rFonts w:ascii="Arial" w:hAnsi="Arial" w:cs="Arial"/>
          <w:b/>
          <w:bCs/>
          <w:color w:val="4C94D8" w:themeColor="text2" w:themeTint="80"/>
        </w:rPr>
        <w:t>Business Impact Estimate</w:t>
      </w:r>
      <w:r w:rsidRPr="00CA20D8">
        <w:rPr>
          <w:rFonts w:ascii="Arial" w:hAnsi="Arial" w:cs="Arial"/>
          <w:b/>
          <w:bCs/>
          <w:color w:val="4C94D8" w:themeColor="text2" w:themeTint="80"/>
        </w:rPr>
        <w:t>:</w:t>
      </w:r>
    </w:p>
    <w:p w14:paraId="3EC5C07E" w14:textId="77777777" w:rsidR="00CA20D8" w:rsidRPr="00CA20D8" w:rsidRDefault="00CA20D8" w:rsidP="00CA20D8">
      <w:pPr>
        <w:jc w:val="both"/>
        <w:rPr>
          <w:rFonts w:ascii="Arial" w:hAnsi="Arial" w:cs="Arial"/>
          <w:color w:val="000000" w:themeColor="text1"/>
        </w:rPr>
      </w:pPr>
      <w:r w:rsidRPr="00CA20D8">
        <w:rPr>
          <w:rFonts w:ascii="Arial" w:hAnsi="Arial" w:cs="Arial"/>
          <w:color w:val="000000" w:themeColor="text1"/>
        </w:rPr>
        <w:t>If 10,000 customers are predicted to churn, and the average Customer Lifetime Value (CLV) is £500:</w:t>
      </w:r>
    </w:p>
    <w:p w14:paraId="4376802F" w14:textId="77777777" w:rsidR="00CA20D8" w:rsidRPr="00CA20D8" w:rsidRDefault="00CA20D8" w:rsidP="00CA20D8">
      <w:pPr>
        <w:numPr>
          <w:ilvl w:val="0"/>
          <w:numId w:val="4"/>
        </w:numPr>
        <w:jc w:val="both"/>
        <w:rPr>
          <w:rFonts w:ascii="Arial" w:hAnsi="Arial" w:cs="Arial"/>
          <w:color w:val="000000" w:themeColor="text1"/>
        </w:rPr>
      </w:pPr>
      <w:r w:rsidRPr="00CA20D8">
        <w:rPr>
          <w:rFonts w:ascii="Arial" w:hAnsi="Arial" w:cs="Arial"/>
          <w:color w:val="000000" w:themeColor="text1"/>
        </w:rPr>
        <w:t xml:space="preserve">Saving 20% of them = 2,000 customers × £500 = </w:t>
      </w:r>
      <w:r w:rsidRPr="00CA20D8">
        <w:rPr>
          <w:rFonts w:ascii="Arial" w:hAnsi="Arial" w:cs="Arial"/>
          <w:b/>
          <w:bCs/>
          <w:color w:val="000000" w:themeColor="text1"/>
        </w:rPr>
        <w:t>£1 million retention value</w:t>
      </w:r>
    </w:p>
    <w:p w14:paraId="5E80C78E" w14:textId="77777777" w:rsidR="00CA20D8" w:rsidRDefault="00CA20D8" w:rsidP="00CA20D8">
      <w:pPr>
        <w:jc w:val="both"/>
        <w:rPr>
          <w:rFonts w:ascii="Arial" w:hAnsi="Arial" w:cs="Arial"/>
          <w:color w:val="000000" w:themeColor="text1"/>
        </w:rPr>
      </w:pPr>
    </w:p>
    <w:p w14:paraId="2BA6BC0E" w14:textId="3204681D" w:rsidR="00CA20D8" w:rsidRPr="00CA20D8" w:rsidRDefault="00CA20D8" w:rsidP="00CA20D8">
      <w:pPr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CA20D8">
        <w:rPr>
          <w:rFonts w:ascii="Arial" w:hAnsi="Arial" w:cs="Arial"/>
          <w:b/>
          <w:bCs/>
          <w:color w:val="4C94D8" w:themeColor="text2" w:themeTint="80"/>
        </w:rPr>
        <w:t>Business Value:</w:t>
      </w:r>
    </w:p>
    <w:p w14:paraId="7834080B" w14:textId="616EF684" w:rsidR="00CA20D8" w:rsidRPr="00CA20D8" w:rsidRDefault="00CA20D8" w:rsidP="00CA20D8">
      <w:pPr>
        <w:jc w:val="both"/>
        <w:rPr>
          <w:rFonts w:ascii="Arial" w:hAnsi="Arial" w:cs="Arial"/>
          <w:color w:val="000000" w:themeColor="text1"/>
        </w:rPr>
      </w:pPr>
      <w:r w:rsidRPr="00CA20D8">
        <w:rPr>
          <w:rFonts w:ascii="Arial" w:hAnsi="Arial" w:cs="Arial"/>
          <w:color w:val="000000" w:themeColor="text1"/>
        </w:rPr>
        <w:t xml:space="preserve">By acting on model insights, </w:t>
      </w:r>
      <w:r>
        <w:rPr>
          <w:rFonts w:ascii="Arial" w:hAnsi="Arial" w:cs="Arial"/>
          <w:color w:val="000000" w:themeColor="text1"/>
        </w:rPr>
        <w:t>r</w:t>
      </w:r>
      <w:r w:rsidRPr="00CA20D8">
        <w:rPr>
          <w:rFonts w:ascii="Arial" w:hAnsi="Arial" w:cs="Arial"/>
          <w:color w:val="000000" w:themeColor="text1"/>
        </w:rPr>
        <w:t>etaining 20% of at-risk customers could save over £1 million in potential lifetime value</w:t>
      </w:r>
      <w:r w:rsidRPr="00CA20D8">
        <w:rPr>
          <w:rFonts w:ascii="Arial" w:hAnsi="Arial" w:cs="Arial"/>
          <w:color w:val="000000" w:themeColor="text1"/>
        </w:rPr>
        <w:t xml:space="preserve"> </w:t>
      </w:r>
      <w:r w:rsidRPr="00CA20D8">
        <w:rPr>
          <w:rFonts w:ascii="Arial" w:hAnsi="Arial" w:cs="Arial"/>
          <w:color w:val="000000" w:themeColor="text1"/>
        </w:rPr>
        <w:t>by targeting high-risk churn segments</w:t>
      </w:r>
    </w:p>
    <w:sectPr w:rsidR="00CA20D8" w:rsidRPr="00CA2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56B"/>
    <w:multiLevelType w:val="hybridMultilevel"/>
    <w:tmpl w:val="22CC3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F575EF"/>
    <w:multiLevelType w:val="hybridMultilevel"/>
    <w:tmpl w:val="4CC44B56"/>
    <w:lvl w:ilvl="0" w:tplc="1C9AB80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9646C2"/>
    <w:multiLevelType w:val="multilevel"/>
    <w:tmpl w:val="9170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C5776"/>
    <w:multiLevelType w:val="hybridMultilevel"/>
    <w:tmpl w:val="D27A2EC2"/>
    <w:lvl w:ilvl="0" w:tplc="1C9AB80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3228571">
    <w:abstractNumId w:val="0"/>
  </w:num>
  <w:num w:numId="2" w16cid:durableId="1286887162">
    <w:abstractNumId w:val="3"/>
  </w:num>
  <w:num w:numId="3" w16cid:durableId="1609042361">
    <w:abstractNumId w:val="1"/>
  </w:num>
  <w:num w:numId="4" w16cid:durableId="214005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A4"/>
    <w:rsid w:val="008C58A4"/>
    <w:rsid w:val="00A00D82"/>
    <w:rsid w:val="00CA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FB5A1"/>
  <w15:chartTrackingRefBased/>
  <w15:docId w15:val="{3E95187D-649B-4043-969B-FB44ACACD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8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58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8C58A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</dc:creator>
  <cp:keywords/>
  <dc:description/>
  <cp:lastModifiedBy>Shyam</cp:lastModifiedBy>
  <cp:revision>1</cp:revision>
  <dcterms:created xsi:type="dcterms:W3CDTF">2025-11-02T20:53:00Z</dcterms:created>
  <dcterms:modified xsi:type="dcterms:W3CDTF">2025-11-02T21:11:00Z</dcterms:modified>
</cp:coreProperties>
</file>