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9360"/>
      </w:tblGrid>
      <w:tr w:rsidR="00F47B55" w:rsidRPr="00C96C5F" w14:paraId="7AD0FE36" w14:textId="77777777" w:rsidTr="00472285">
        <w:tblPrEx>
          <w:tblCellMar>
            <w:top w:w="0" w:type="dxa"/>
            <w:bottom w:w="0" w:type="dxa"/>
          </w:tblCellMar>
        </w:tblPrEx>
        <w:tc>
          <w:tcPr>
            <w:tcW w:w="9360" w:type="dxa"/>
            <w:shd w:val="clear" w:color="auto" w:fill="FFFFFF" w:themeFill="background1"/>
            <w:tcMar>
              <w:top w:w="120" w:type="dxa"/>
              <w:left w:w="200" w:type="dxa"/>
              <w:bottom w:w="120" w:type="dxa"/>
              <w:right w:w="200" w:type="dxa"/>
            </w:tcMar>
          </w:tcPr>
          <w:p w14:paraId="1B1474C9"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TASK 3: Protein Structure Prediction</w:t>
            </w:r>
          </w:p>
        </w:tc>
      </w:tr>
    </w:tbl>
    <w:p w14:paraId="3EB54A7D" w14:textId="77777777" w:rsidR="00F47B55" w:rsidRPr="00C96C5F" w:rsidRDefault="00F47B55" w:rsidP="00F47B55">
      <w:pPr>
        <w:spacing w:before="100" w:after="100" w:line="276" w:lineRule="auto"/>
        <w:jc w:val="both"/>
        <w:rPr>
          <w:rFonts w:ascii="Times New Roman" w:hAnsi="Times New Roman" w:cs="Times New Roman"/>
          <w:color w:val="000000" w:themeColor="text1"/>
          <w:sz w:val="24"/>
          <w:szCs w:val="24"/>
        </w:rPr>
      </w:pPr>
    </w:p>
    <w:p w14:paraId="4BF77467" w14:textId="77777777" w:rsidR="00F47B55" w:rsidRPr="00C96C5F" w:rsidRDefault="00F47B55" w:rsidP="00F47B55">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3.1  Objective</w:t>
      </w:r>
      <w:proofErr w:type="gramEnd"/>
    </w:p>
    <w:p w14:paraId="6F3968D5"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To select a protein sequence from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predict its 3D structure using computational tools (SWISS-MODEL and AlphaFold DB), visualize the predicted structure using </w:t>
      </w:r>
      <w:proofErr w:type="spellStart"/>
      <w:r w:rsidRPr="00C96C5F">
        <w:rPr>
          <w:rFonts w:ascii="Times New Roman" w:hAnsi="Times New Roman" w:cs="Times New Roman"/>
          <w:color w:val="000000" w:themeColor="text1"/>
          <w:sz w:val="24"/>
          <w:szCs w:val="24"/>
        </w:rPr>
        <w:t>PyMOL</w:t>
      </w:r>
      <w:proofErr w:type="spellEnd"/>
      <w:r w:rsidRPr="00C96C5F">
        <w:rPr>
          <w:rFonts w:ascii="Times New Roman" w:hAnsi="Times New Roman" w:cs="Times New Roman"/>
          <w:color w:val="000000" w:themeColor="text1"/>
          <w:sz w:val="24"/>
          <w:szCs w:val="24"/>
        </w:rPr>
        <w:t xml:space="preserve">/Chimera, and </w:t>
      </w:r>
      <w:proofErr w:type="spellStart"/>
      <w:r w:rsidRPr="00C96C5F">
        <w:rPr>
          <w:rFonts w:ascii="Times New Roman" w:hAnsi="Times New Roman" w:cs="Times New Roman"/>
          <w:color w:val="000000" w:themeColor="text1"/>
          <w:sz w:val="24"/>
          <w:szCs w:val="24"/>
        </w:rPr>
        <w:t>analyze</w:t>
      </w:r>
      <w:proofErr w:type="spellEnd"/>
      <w:r w:rsidRPr="00C96C5F">
        <w:rPr>
          <w:rFonts w:ascii="Times New Roman" w:hAnsi="Times New Roman" w:cs="Times New Roman"/>
          <w:color w:val="000000" w:themeColor="text1"/>
          <w:sz w:val="24"/>
          <w:szCs w:val="24"/>
        </w:rPr>
        <w:t xml:space="preserve"> the key structural features including secondary structure elements, domain organization, and active/binding sites.</w:t>
      </w:r>
    </w:p>
    <w:p w14:paraId="0877B648" w14:textId="77777777" w:rsidR="00F47B55" w:rsidRPr="00C96C5F" w:rsidRDefault="00F47B55" w:rsidP="00F47B55">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3.2  Target</w:t>
      </w:r>
      <w:proofErr w:type="gramEnd"/>
      <w:r w:rsidRPr="00C96C5F">
        <w:rPr>
          <w:rFonts w:ascii="Times New Roman" w:hAnsi="Times New Roman" w:cs="Times New Roman"/>
          <w:b/>
          <w:bCs/>
          <w:color w:val="000000" w:themeColor="text1"/>
          <w:sz w:val="24"/>
          <w:szCs w:val="24"/>
        </w:rPr>
        <w:t xml:space="preserve"> Protein: Acetylcholinesterase (</w:t>
      </w:r>
      <w:proofErr w:type="spellStart"/>
      <w:r w:rsidRPr="00C96C5F">
        <w:rPr>
          <w:rFonts w:ascii="Times New Roman" w:hAnsi="Times New Roman" w:cs="Times New Roman"/>
          <w:b/>
          <w:bCs/>
          <w:color w:val="000000" w:themeColor="text1"/>
          <w:sz w:val="24"/>
          <w:szCs w:val="24"/>
        </w:rPr>
        <w:t>AChE</w:t>
      </w:r>
      <w:proofErr w:type="spellEnd"/>
      <w:r w:rsidRPr="00C96C5F">
        <w:rPr>
          <w:rFonts w:ascii="Times New Roman" w:hAnsi="Times New Roman" w:cs="Times New Roman"/>
          <w:b/>
          <w:bCs/>
          <w:color w:val="000000" w:themeColor="text1"/>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680"/>
        <w:gridCol w:w="4680"/>
      </w:tblGrid>
      <w:tr w:rsidR="00F47B55" w:rsidRPr="00C96C5F" w14:paraId="69A0D6D9" w14:textId="77777777" w:rsidTr="00472285">
        <w:tblPrEx>
          <w:tblCellMar>
            <w:top w:w="0" w:type="dxa"/>
            <w:bottom w:w="0" w:type="dxa"/>
          </w:tblCellMar>
        </w:tblPrEx>
        <w:tc>
          <w:tcPr>
            <w:tcW w:w="4680" w:type="dxa"/>
            <w:shd w:val="clear" w:color="auto" w:fill="FFFFFF" w:themeFill="background1"/>
            <w:tcMar>
              <w:top w:w="80" w:type="dxa"/>
              <w:left w:w="120" w:type="dxa"/>
              <w:bottom w:w="80" w:type="dxa"/>
              <w:right w:w="120" w:type="dxa"/>
            </w:tcMar>
          </w:tcPr>
          <w:p w14:paraId="7398A838"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Property</w:t>
            </w:r>
          </w:p>
        </w:tc>
        <w:tc>
          <w:tcPr>
            <w:tcW w:w="4680" w:type="dxa"/>
            <w:shd w:val="clear" w:color="auto" w:fill="FFFFFF" w:themeFill="background1"/>
            <w:tcMar>
              <w:top w:w="80" w:type="dxa"/>
              <w:left w:w="120" w:type="dxa"/>
              <w:bottom w:w="80" w:type="dxa"/>
              <w:right w:w="120" w:type="dxa"/>
            </w:tcMar>
          </w:tcPr>
          <w:p w14:paraId="427A51CC"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Details</w:t>
            </w:r>
          </w:p>
        </w:tc>
      </w:tr>
      <w:tr w:rsidR="00F47B55" w:rsidRPr="00C96C5F" w14:paraId="67BF8AAB"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5A5F3792"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Name</w:t>
            </w:r>
          </w:p>
        </w:tc>
        <w:tc>
          <w:tcPr>
            <w:tcW w:w="4680" w:type="dxa"/>
            <w:shd w:val="clear" w:color="auto" w:fill="FFFFFF" w:themeFill="background1"/>
            <w:tcMar>
              <w:top w:w="60" w:type="dxa"/>
              <w:left w:w="120" w:type="dxa"/>
              <w:bottom w:w="60" w:type="dxa"/>
              <w:right w:w="120" w:type="dxa"/>
            </w:tcMar>
          </w:tcPr>
          <w:p w14:paraId="11E3B5BB"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Acetylcholinesterase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w:t>
            </w:r>
          </w:p>
        </w:tc>
      </w:tr>
      <w:tr w:rsidR="00F47B55" w:rsidRPr="00C96C5F" w14:paraId="10C7A3A8"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3A37A3C1"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ID</w:t>
            </w:r>
          </w:p>
        </w:tc>
        <w:tc>
          <w:tcPr>
            <w:tcW w:w="4680" w:type="dxa"/>
            <w:shd w:val="clear" w:color="auto" w:fill="FFFFFF" w:themeFill="background1"/>
            <w:tcMar>
              <w:top w:w="60" w:type="dxa"/>
              <w:left w:w="120" w:type="dxa"/>
              <w:bottom w:w="60" w:type="dxa"/>
              <w:right w:w="120" w:type="dxa"/>
            </w:tcMar>
          </w:tcPr>
          <w:p w14:paraId="0391F098"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P22303</w:t>
            </w:r>
          </w:p>
        </w:tc>
      </w:tr>
      <w:tr w:rsidR="00F47B55" w:rsidRPr="00C96C5F" w14:paraId="7A1F2E03"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55DE0C7E"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Organism</w:t>
            </w:r>
          </w:p>
        </w:tc>
        <w:tc>
          <w:tcPr>
            <w:tcW w:w="4680" w:type="dxa"/>
            <w:shd w:val="clear" w:color="auto" w:fill="FFFFFF" w:themeFill="background1"/>
            <w:tcMar>
              <w:top w:w="60" w:type="dxa"/>
              <w:left w:w="120" w:type="dxa"/>
              <w:bottom w:w="60" w:type="dxa"/>
              <w:right w:w="120" w:type="dxa"/>
            </w:tcMar>
          </w:tcPr>
          <w:p w14:paraId="42921AE9"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Homo sapiens</w:t>
            </w:r>
          </w:p>
        </w:tc>
      </w:tr>
      <w:tr w:rsidR="00F47B55" w:rsidRPr="00C96C5F" w14:paraId="5EE1A4FB"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19353356"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w:t>
            </w:r>
          </w:p>
        </w:tc>
        <w:tc>
          <w:tcPr>
            <w:tcW w:w="4680" w:type="dxa"/>
            <w:shd w:val="clear" w:color="auto" w:fill="FFFFFF" w:themeFill="background1"/>
            <w:tcMar>
              <w:top w:w="60" w:type="dxa"/>
              <w:left w:w="120" w:type="dxa"/>
              <w:bottom w:w="60" w:type="dxa"/>
              <w:right w:w="120" w:type="dxa"/>
            </w:tcMar>
          </w:tcPr>
          <w:p w14:paraId="28FF22AA"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ACHE</w:t>
            </w:r>
          </w:p>
        </w:tc>
      </w:tr>
      <w:tr w:rsidR="00F47B55" w:rsidRPr="00C96C5F" w14:paraId="46082045"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11830721"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Sequence Length</w:t>
            </w:r>
          </w:p>
        </w:tc>
        <w:tc>
          <w:tcPr>
            <w:tcW w:w="4680" w:type="dxa"/>
            <w:shd w:val="clear" w:color="auto" w:fill="FFFFFF" w:themeFill="background1"/>
            <w:tcMar>
              <w:top w:w="60" w:type="dxa"/>
              <w:left w:w="120" w:type="dxa"/>
              <w:bottom w:w="60" w:type="dxa"/>
              <w:right w:w="120" w:type="dxa"/>
            </w:tcMar>
          </w:tcPr>
          <w:p w14:paraId="6AB53D93"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614 amino acids (mature form: 543 AA)</w:t>
            </w:r>
          </w:p>
        </w:tc>
      </w:tr>
      <w:tr w:rsidR="00F47B55" w:rsidRPr="00C96C5F" w14:paraId="1F13FA6D"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40CAD82C"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Molecular Weight</w:t>
            </w:r>
          </w:p>
        </w:tc>
        <w:tc>
          <w:tcPr>
            <w:tcW w:w="4680" w:type="dxa"/>
            <w:shd w:val="clear" w:color="auto" w:fill="FFFFFF" w:themeFill="background1"/>
            <w:tcMar>
              <w:top w:w="60" w:type="dxa"/>
              <w:left w:w="120" w:type="dxa"/>
              <w:bottom w:w="60" w:type="dxa"/>
              <w:right w:w="120" w:type="dxa"/>
            </w:tcMar>
          </w:tcPr>
          <w:p w14:paraId="40D3F969"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~67 </w:t>
            </w:r>
            <w:proofErr w:type="spellStart"/>
            <w:r w:rsidRPr="00C96C5F">
              <w:rPr>
                <w:rFonts w:ascii="Times New Roman" w:hAnsi="Times New Roman" w:cs="Times New Roman"/>
                <w:color w:val="000000" w:themeColor="text1"/>
                <w:sz w:val="24"/>
                <w:szCs w:val="24"/>
              </w:rPr>
              <w:t>kDa</w:t>
            </w:r>
            <w:proofErr w:type="spellEnd"/>
            <w:r w:rsidRPr="00C96C5F">
              <w:rPr>
                <w:rFonts w:ascii="Times New Roman" w:hAnsi="Times New Roman" w:cs="Times New Roman"/>
                <w:color w:val="000000" w:themeColor="text1"/>
                <w:sz w:val="24"/>
                <w:szCs w:val="24"/>
              </w:rPr>
              <w:t xml:space="preserve"> (monomer)</w:t>
            </w:r>
          </w:p>
        </w:tc>
      </w:tr>
      <w:tr w:rsidR="00F47B55" w:rsidRPr="00C96C5F" w14:paraId="1EF915B7"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5C7AF3CC"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EC Number</w:t>
            </w:r>
          </w:p>
        </w:tc>
        <w:tc>
          <w:tcPr>
            <w:tcW w:w="4680" w:type="dxa"/>
            <w:shd w:val="clear" w:color="auto" w:fill="FFFFFF" w:themeFill="background1"/>
            <w:tcMar>
              <w:top w:w="60" w:type="dxa"/>
              <w:left w:w="120" w:type="dxa"/>
              <w:bottom w:w="60" w:type="dxa"/>
              <w:right w:w="120" w:type="dxa"/>
            </w:tcMar>
          </w:tcPr>
          <w:p w14:paraId="73E7CEE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EC 3.1.1.7</w:t>
            </w:r>
          </w:p>
        </w:tc>
      </w:tr>
      <w:tr w:rsidR="00F47B55" w:rsidRPr="00C96C5F" w14:paraId="2FFD629D"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54C2BDF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Function</w:t>
            </w:r>
          </w:p>
        </w:tc>
        <w:tc>
          <w:tcPr>
            <w:tcW w:w="4680" w:type="dxa"/>
            <w:shd w:val="clear" w:color="auto" w:fill="FFFFFF" w:themeFill="background1"/>
            <w:tcMar>
              <w:top w:w="60" w:type="dxa"/>
              <w:left w:w="120" w:type="dxa"/>
              <w:bottom w:w="60" w:type="dxa"/>
              <w:right w:w="120" w:type="dxa"/>
            </w:tcMar>
          </w:tcPr>
          <w:p w14:paraId="4DFE4DD9"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Hydrolysis of acetylcholine at cholinergic synapses</w:t>
            </w:r>
          </w:p>
        </w:tc>
      </w:tr>
      <w:tr w:rsidR="00F47B55" w:rsidRPr="00C96C5F" w14:paraId="66E80F90" w14:textId="77777777" w:rsidTr="00472285">
        <w:tblPrEx>
          <w:tblCellMar>
            <w:top w:w="0" w:type="dxa"/>
            <w:bottom w:w="0" w:type="dxa"/>
          </w:tblCellMar>
        </w:tblPrEx>
        <w:tc>
          <w:tcPr>
            <w:tcW w:w="4680" w:type="dxa"/>
            <w:shd w:val="clear" w:color="auto" w:fill="FFFFFF" w:themeFill="background1"/>
            <w:tcMar>
              <w:top w:w="60" w:type="dxa"/>
              <w:left w:w="120" w:type="dxa"/>
              <w:bottom w:w="60" w:type="dxa"/>
              <w:right w:w="120" w:type="dxa"/>
            </w:tcMar>
          </w:tcPr>
          <w:p w14:paraId="26BCE047"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Biomedical Relevance</w:t>
            </w:r>
          </w:p>
        </w:tc>
        <w:tc>
          <w:tcPr>
            <w:tcW w:w="4680" w:type="dxa"/>
            <w:shd w:val="clear" w:color="auto" w:fill="FFFFFF" w:themeFill="background1"/>
            <w:tcMar>
              <w:top w:w="60" w:type="dxa"/>
              <w:left w:w="120" w:type="dxa"/>
              <w:bottom w:w="60" w:type="dxa"/>
              <w:right w:w="120" w:type="dxa"/>
            </w:tcMar>
          </w:tcPr>
          <w:p w14:paraId="36F4C2F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Target for Alzheimer's disease drugs (donepezil, rivastigmine, galantamine)</w:t>
            </w:r>
          </w:p>
        </w:tc>
      </w:tr>
    </w:tbl>
    <w:p w14:paraId="6FA9E9FE" w14:textId="77777777" w:rsidR="00F47B55" w:rsidRPr="00C96C5F" w:rsidRDefault="00F47B55" w:rsidP="00F47B55">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3.3  Structure</w:t>
      </w:r>
      <w:proofErr w:type="gramEnd"/>
      <w:r w:rsidRPr="00C96C5F">
        <w:rPr>
          <w:rFonts w:ascii="Times New Roman" w:hAnsi="Times New Roman" w:cs="Times New Roman"/>
          <w:b/>
          <w:bCs/>
          <w:color w:val="000000" w:themeColor="text1"/>
          <w:sz w:val="24"/>
          <w:szCs w:val="24"/>
        </w:rPr>
        <w:t xml:space="preserve"> Prediction Methods</w:t>
      </w:r>
    </w:p>
    <w:p w14:paraId="64829794"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Method 1: AlphaFold DB (DeepMind/EMBL-EBI)</w:t>
      </w:r>
    </w:p>
    <w:p w14:paraId="00FDEE99"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AlphaFold structure for human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 xml:space="preserve"> (AlphaFold ID: AF-P22303-F1) was retrieved from the AlphaFold Protein Structure Database. AlphaFold2 uses a deep neural network trained on known protein structures to predict 3D coordinates from sequence alone. The model achieved high confidence scores (</w:t>
      </w:r>
      <w:proofErr w:type="spellStart"/>
      <w:r w:rsidRPr="00C96C5F">
        <w:rPr>
          <w:rFonts w:ascii="Times New Roman" w:hAnsi="Times New Roman" w:cs="Times New Roman"/>
          <w:color w:val="000000" w:themeColor="text1"/>
          <w:sz w:val="24"/>
          <w:szCs w:val="24"/>
        </w:rPr>
        <w:t>pLDDT</w:t>
      </w:r>
      <w:proofErr w:type="spellEnd"/>
      <w:r w:rsidRPr="00C96C5F">
        <w:rPr>
          <w:rFonts w:ascii="Times New Roman" w:hAnsi="Times New Roman" w:cs="Times New Roman"/>
          <w:color w:val="000000" w:themeColor="text1"/>
          <w:sz w:val="24"/>
          <w:szCs w:val="24"/>
        </w:rPr>
        <w:t>) across most of the protein:</w:t>
      </w:r>
    </w:p>
    <w:p w14:paraId="28B7114A"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Very high confidence (</w:t>
      </w:r>
      <w:proofErr w:type="spellStart"/>
      <w:r w:rsidRPr="00C96C5F">
        <w:rPr>
          <w:rFonts w:ascii="Times New Roman" w:hAnsi="Times New Roman" w:cs="Times New Roman"/>
          <w:color w:val="000000" w:themeColor="text1"/>
          <w:sz w:val="24"/>
          <w:szCs w:val="24"/>
        </w:rPr>
        <w:t>pLDDT</w:t>
      </w:r>
      <w:proofErr w:type="spellEnd"/>
      <w:r w:rsidRPr="00C96C5F">
        <w:rPr>
          <w:rFonts w:ascii="Times New Roman" w:hAnsi="Times New Roman" w:cs="Times New Roman"/>
          <w:color w:val="000000" w:themeColor="text1"/>
          <w:sz w:val="24"/>
          <w:szCs w:val="24"/>
        </w:rPr>
        <w:t xml:space="preserve"> &gt; 90): 78% of residues — primarily the core beta-sheet and surrounding helices</w:t>
      </w:r>
    </w:p>
    <w:p w14:paraId="121F1615"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High confidence (70–90): 14% of residues — loop regions and peripheral helices</w:t>
      </w:r>
    </w:p>
    <w:p w14:paraId="4D9EEC92"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Low confidence (&lt; 70): 8% of residues — N-terminal signal peptide and disordered C-terminal region</w:t>
      </w:r>
    </w:p>
    <w:p w14:paraId="64E6836D"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Mean </w:t>
      </w:r>
      <w:proofErr w:type="spellStart"/>
      <w:r w:rsidRPr="00C96C5F">
        <w:rPr>
          <w:rFonts w:ascii="Times New Roman" w:hAnsi="Times New Roman" w:cs="Times New Roman"/>
          <w:color w:val="000000" w:themeColor="text1"/>
          <w:sz w:val="24"/>
          <w:szCs w:val="24"/>
        </w:rPr>
        <w:t>pLDDT</w:t>
      </w:r>
      <w:proofErr w:type="spellEnd"/>
      <w:r w:rsidRPr="00C96C5F">
        <w:rPr>
          <w:rFonts w:ascii="Times New Roman" w:hAnsi="Times New Roman" w:cs="Times New Roman"/>
          <w:color w:val="000000" w:themeColor="text1"/>
          <w:sz w:val="24"/>
          <w:szCs w:val="24"/>
        </w:rPr>
        <w:t xml:space="preserve"> score: 88.4 — indicating a reliable overall prediction.</w:t>
      </w:r>
    </w:p>
    <w:p w14:paraId="7A4CE1C8"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Method 2: SWISS-MODEL</w:t>
      </w:r>
    </w:p>
    <w:p w14:paraId="727EB927"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 xml:space="preserve">Homology </w:t>
      </w:r>
      <w:proofErr w:type="spellStart"/>
      <w:r w:rsidRPr="00C96C5F">
        <w:rPr>
          <w:rFonts w:ascii="Times New Roman" w:hAnsi="Times New Roman" w:cs="Times New Roman"/>
          <w:color w:val="000000" w:themeColor="text1"/>
          <w:sz w:val="24"/>
          <w:szCs w:val="24"/>
        </w:rPr>
        <w:t>modeling</w:t>
      </w:r>
      <w:proofErr w:type="spellEnd"/>
      <w:r w:rsidRPr="00C96C5F">
        <w:rPr>
          <w:rFonts w:ascii="Times New Roman" w:hAnsi="Times New Roman" w:cs="Times New Roman"/>
          <w:color w:val="000000" w:themeColor="text1"/>
          <w:sz w:val="24"/>
          <w:szCs w:val="24"/>
        </w:rPr>
        <w:t xml:space="preserve"> was performed using SWISS-MODEL with the Torpedo californica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 xml:space="preserve"> crystal structure (PDB: 1ACE, 2.8 Å resolution) as the template. Template selection was based on:</w:t>
      </w:r>
    </w:p>
    <w:p w14:paraId="029204FB"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Sequence identity: 53.7% between human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 xml:space="preserve"> and 1ACE</w:t>
      </w:r>
    </w:p>
    <w:p w14:paraId="36D5D5BE"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Template quality (GMQE score): 0.82 (range 0–1; higher = better)</w:t>
      </w:r>
    </w:p>
    <w:p w14:paraId="4475BB95"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QMEAN score: -1.8 (values near 0 indicate good quality)</w:t>
      </w:r>
    </w:p>
    <w:p w14:paraId="73AA20A3"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Coverage: 98.6% of the target sequence</w:t>
      </w:r>
    </w:p>
    <w:p w14:paraId="60B3016D" w14:textId="77777777" w:rsidR="00F47B55"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The SWISS-MODEL structure shows strong agreement with the AlphaFold prediction (TM-score ~0.94 when superimposed), validating the predicted fold.</w:t>
      </w:r>
    </w:p>
    <w:p w14:paraId="13D68125" w14:textId="77777777" w:rsidR="00F47B55" w:rsidRDefault="00F47B55" w:rsidP="00F47B55">
      <w:pPr>
        <w:spacing w:before="60" w:after="60" w:line="276" w:lineRule="auto"/>
        <w:jc w:val="both"/>
        <w:rPr>
          <w:rFonts w:ascii="Times New Roman" w:hAnsi="Times New Roman" w:cs="Times New Roman"/>
          <w:color w:val="000000" w:themeColor="text1"/>
          <w:sz w:val="24"/>
          <w:szCs w:val="24"/>
        </w:rPr>
      </w:pPr>
    </w:p>
    <w:p w14:paraId="5867589E" w14:textId="0FBF7AD2"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Pr>
          <w:noProof/>
          <w14:ligatures w14:val="standardContextual"/>
        </w:rPr>
        <w:drawing>
          <wp:inline distT="0" distB="0" distL="0" distR="0" wp14:anchorId="603E3D08" wp14:editId="0BA78FBE">
            <wp:extent cx="5731510" cy="2694305"/>
            <wp:effectExtent l="0" t="0" r="254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5"/>
                    <a:srcRect/>
                    <a:stretch>
                      <a:fillRect/>
                    </a:stretch>
                  </pic:blipFill>
                  <pic:spPr>
                    <a:xfrm>
                      <a:off x="0" y="0"/>
                      <a:ext cx="5731510" cy="2694305"/>
                    </a:xfrm>
                    <a:prstGeom prst="rect">
                      <a:avLst/>
                    </a:prstGeom>
                    <a:ln/>
                  </pic:spPr>
                </pic:pic>
              </a:graphicData>
            </a:graphic>
          </wp:inline>
        </w:drawing>
      </w:r>
    </w:p>
    <w:p w14:paraId="49681538" w14:textId="77777777" w:rsidR="00F47B55" w:rsidRDefault="00F47B55" w:rsidP="00F47B55">
      <w:pPr>
        <w:pStyle w:val="Heading2"/>
        <w:spacing w:line="276" w:lineRule="auto"/>
        <w:jc w:val="both"/>
        <w:rPr>
          <w:rFonts w:ascii="Times New Roman" w:hAnsi="Times New Roman" w:cs="Times New Roman"/>
          <w:b/>
          <w:bCs/>
          <w:color w:val="000000" w:themeColor="text1"/>
          <w:sz w:val="24"/>
          <w:szCs w:val="24"/>
        </w:rPr>
      </w:pPr>
      <w:r>
        <w:rPr>
          <w:noProof/>
          <w14:ligatures w14:val="standardContextual"/>
        </w:rPr>
        <w:drawing>
          <wp:inline distT="0" distB="0" distL="0" distR="0" wp14:anchorId="1915C2B2" wp14:editId="6B753017">
            <wp:extent cx="5731510" cy="3049270"/>
            <wp:effectExtent l="0" t="0" r="2540" b="0"/>
            <wp:docPr id="63894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47903" name=""/>
                    <pic:cNvPicPr/>
                  </pic:nvPicPr>
                  <pic:blipFill>
                    <a:blip r:embed="rId6"/>
                    <a:stretch>
                      <a:fillRect/>
                    </a:stretch>
                  </pic:blipFill>
                  <pic:spPr>
                    <a:xfrm>
                      <a:off x="0" y="0"/>
                      <a:ext cx="5731510" cy="3049270"/>
                    </a:xfrm>
                    <a:prstGeom prst="rect">
                      <a:avLst/>
                    </a:prstGeom>
                  </pic:spPr>
                </pic:pic>
              </a:graphicData>
            </a:graphic>
          </wp:inline>
        </w:drawing>
      </w:r>
    </w:p>
    <w:p w14:paraId="4E4AA84F" w14:textId="3902E3D4" w:rsidR="00F47B55" w:rsidRPr="00C96C5F" w:rsidRDefault="00F47B55" w:rsidP="00F47B55">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3.4  Structural</w:t>
      </w:r>
      <w:proofErr w:type="gramEnd"/>
      <w:r w:rsidRPr="00C96C5F">
        <w:rPr>
          <w:rFonts w:ascii="Times New Roman" w:hAnsi="Times New Roman" w:cs="Times New Roman"/>
          <w:b/>
          <w:bCs/>
          <w:color w:val="000000" w:themeColor="text1"/>
          <w:sz w:val="24"/>
          <w:szCs w:val="24"/>
        </w:rPr>
        <w:t xml:space="preserve"> Features Analysis</w:t>
      </w:r>
    </w:p>
    <w:p w14:paraId="2127C641"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Overall Fold: alpha/beta Hydrolase</w:t>
      </w:r>
    </w:p>
    <w:p w14:paraId="0DED6024"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lastRenderedPageBreak/>
        <w:t>AChE</w:t>
      </w:r>
      <w:proofErr w:type="spellEnd"/>
      <w:r w:rsidRPr="00C96C5F">
        <w:rPr>
          <w:rFonts w:ascii="Times New Roman" w:hAnsi="Times New Roman" w:cs="Times New Roman"/>
          <w:color w:val="000000" w:themeColor="text1"/>
          <w:sz w:val="24"/>
          <w:szCs w:val="24"/>
        </w:rPr>
        <w:t xml:space="preserve"> adopts the alpha/beta hydrolase fold — one of the most versatile enzyme scaffolds in nature. The core consists of a central 11-stranded mixed beta-sheet, flanked by alpha-helices on both sides. This fold is shared with lipases, esterases, and serine proteases despite low sequence similarity, demonstrating convergent evolution.</w:t>
      </w:r>
    </w:p>
    <w:p w14:paraId="668E0537"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The Catalytic Gorge</w:t>
      </w:r>
    </w:p>
    <w:p w14:paraId="716AFB66"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most distinctive structural feature of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 xml:space="preserve"> is a deep, narrow gorge approximately 20 Angstroms deep that leads to the active site. This gorge is lined with 14 aromatic residues (predominantly phenylalanine and tryptophan) that facilitate substrate binding via van der Waals interactions and pi-cation interactions with the quaternary ammonium of acetylcholine.</w:t>
      </w:r>
    </w:p>
    <w:p w14:paraId="303B71E4"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The Catalytic Triad: Ser203-His447-Glu334</w:t>
      </w:r>
    </w:p>
    <w:p w14:paraId="738CF8CA"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The active site contains a classic serine hydrolase catalytic triad:</w:t>
      </w:r>
    </w:p>
    <w:p w14:paraId="023149BC"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Ser203: Nucleophilic serine — attacks the carbonyl carbon of acetylcholine, forming an acyl-enzyme intermediate</w:t>
      </w:r>
    </w:p>
    <w:p w14:paraId="37E65796"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His447: Histidine — acts as a general base/acid, accepting the proton from Ser203 and donating it during hydrolysis</w:t>
      </w:r>
    </w:p>
    <w:p w14:paraId="1ABAE85E"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Glu334: Glutamate — stabilizes the positive charge on His447 via hydrogen bonding, enhancing nucleophilicity of Ser203</w:t>
      </w:r>
    </w:p>
    <w:p w14:paraId="0F712496"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The Oxyanion Hole</w:t>
      </w:r>
    </w:p>
    <w:p w14:paraId="02953815"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Residues Gly121, Gly122, and Ala204 form the oxyanion hole, which stabilizes the negatively charged tetrahedral transition state during catalysis. The backbone NH groups of these residues donate hydrogen bonds to the carbonyl oxygen of the substrate.</w:t>
      </w:r>
    </w:p>
    <w:p w14:paraId="319529D6"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The Peripheral Anionic Site (PAS)</w:t>
      </w:r>
    </w:p>
    <w:p w14:paraId="4272D707"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At the rim of the catalytic gorge, the PAS is defined by residues Tyr72, Asp74, Tyr124, Trp286, Tyr341, and Tyr349. The PAS binds allosteric inhibitors (such as propidium) and mediates non-classical functions of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 xml:space="preserve"> including amyloid-beta aggregation (relevant to Alzheimer's pathology).</w:t>
      </w:r>
    </w:p>
    <w:p w14:paraId="4AB001AE" w14:textId="77777777" w:rsidR="00F47B55" w:rsidRPr="00C96C5F" w:rsidRDefault="00F47B55" w:rsidP="00F47B55">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Drug Binding Insights</w:t>
      </w:r>
    </w:p>
    <w:p w14:paraId="5D3D5DC1"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Structural analysis explains the mechanism of </w:t>
      </w:r>
      <w:proofErr w:type="spellStart"/>
      <w:r w:rsidRPr="00C96C5F">
        <w:rPr>
          <w:rFonts w:ascii="Times New Roman" w:hAnsi="Times New Roman" w:cs="Times New Roman"/>
          <w:color w:val="000000" w:themeColor="text1"/>
          <w:sz w:val="24"/>
          <w:szCs w:val="24"/>
        </w:rPr>
        <w:t>AChE</w:t>
      </w:r>
      <w:proofErr w:type="spellEnd"/>
      <w:r w:rsidRPr="00C96C5F">
        <w:rPr>
          <w:rFonts w:ascii="Times New Roman" w:hAnsi="Times New Roman" w:cs="Times New Roman"/>
          <w:color w:val="000000" w:themeColor="text1"/>
          <w:sz w:val="24"/>
          <w:szCs w:val="24"/>
        </w:rPr>
        <w:t xml:space="preserve"> inhibitor drugs used in Alzheimer's treatment:</w:t>
      </w:r>
    </w:p>
    <w:p w14:paraId="1642A462"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Donepezil: Binds both the active site and PAS, effectively blocking the gorge — consistent with its competitive/mixed inhibition kinetics</w:t>
      </w:r>
    </w:p>
    <w:p w14:paraId="15A91354"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Galantamine: Binds at the active site, mimicking substrate binding</w:t>
      </w:r>
    </w:p>
    <w:p w14:paraId="12573B2F" w14:textId="77777777" w:rsidR="00F47B55" w:rsidRPr="00C96C5F" w:rsidRDefault="00F47B55" w:rsidP="00F47B55">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Rivastigmine: Acts as a pseudo-irreversible inhibitor, carbamylating Ser203</w:t>
      </w:r>
    </w:p>
    <w:p w14:paraId="3786405C" w14:textId="77777777" w:rsidR="00F47B55" w:rsidRPr="00C96C5F" w:rsidRDefault="00F47B55" w:rsidP="00F47B55">
      <w:pPr>
        <w:spacing w:before="100" w:after="100" w:line="276" w:lineRule="auto"/>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40"/>
        <w:gridCol w:w="2340"/>
        <w:gridCol w:w="2340"/>
        <w:gridCol w:w="2340"/>
      </w:tblGrid>
      <w:tr w:rsidR="00F47B55" w:rsidRPr="00C96C5F" w14:paraId="0D21460F" w14:textId="77777777" w:rsidTr="00472285">
        <w:tblPrEx>
          <w:tblCellMar>
            <w:top w:w="0" w:type="dxa"/>
            <w:bottom w:w="0" w:type="dxa"/>
          </w:tblCellMar>
        </w:tblPrEx>
        <w:tc>
          <w:tcPr>
            <w:tcW w:w="2340" w:type="dxa"/>
            <w:shd w:val="clear" w:color="auto" w:fill="FFFFFF" w:themeFill="background1"/>
            <w:tcMar>
              <w:top w:w="80" w:type="dxa"/>
              <w:left w:w="120" w:type="dxa"/>
              <w:bottom w:w="80" w:type="dxa"/>
              <w:right w:w="120" w:type="dxa"/>
            </w:tcMar>
          </w:tcPr>
          <w:p w14:paraId="345FCB6F"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Structural Element</w:t>
            </w:r>
          </w:p>
        </w:tc>
        <w:tc>
          <w:tcPr>
            <w:tcW w:w="2340" w:type="dxa"/>
            <w:shd w:val="clear" w:color="auto" w:fill="FFFFFF" w:themeFill="background1"/>
            <w:tcMar>
              <w:top w:w="80" w:type="dxa"/>
              <w:left w:w="120" w:type="dxa"/>
              <w:bottom w:w="80" w:type="dxa"/>
              <w:right w:w="120" w:type="dxa"/>
            </w:tcMar>
          </w:tcPr>
          <w:p w14:paraId="5A0C3C23"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Residues</w:t>
            </w:r>
          </w:p>
        </w:tc>
        <w:tc>
          <w:tcPr>
            <w:tcW w:w="2340" w:type="dxa"/>
            <w:shd w:val="clear" w:color="auto" w:fill="FFFFFF" w:themeFill="background1"/>
            <w:tcMar>
              <w:top w:w="80" w:type="dxa"/>
              <w:left w:w="120" w:type="dxa"/>
              <w:bottom w:w="80" w:type="dxa"/>
              <w:right w:w="120" w:type="dxa"/>
            </w:tcMar>
          </w:tcPr>
          <w:p w14:paraId="226BEA40"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Structural Type</w:t>
            </w:r>
          </w:p>
        </w:tc>
        <w:tc>
          <w:tcPr>
            <w:tcW w:w="2340" w:type="dxa"/>
            <w:shd w:val="clear" w:color="auto" w:fill="FFFFFF" w:themeFill="background1"/>
            <w:tcMar>
              <w:top w:w="80" w:type="dxa"/>
              <w:left w:w="120" w:type="dxa"/>
              <w:bottom w:w="80" w:type="dxa"/>
              <w:right w:w="120" w:type="dxa"/>
            </w:tcMar>
          </w:tcPr>
          <w:p w14:paraId="2106636E"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Function</w:t>
            </w:r>
          </w:p>
        </w:tc>
      </w:tr>
      <w:tr w:rsidR="00F47B55" w:rsidRPr="00C96C5F" w14:paraId="45F91536"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508971C8"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Catalytic triad - Ser</w:t>
            </w:r>
          </w:p>
        </w:tc>
        <w:tc>
          <w:tcPr>
            <w:tcW w:w="2340" w:type="dxa"/>
            <w:shd w:val="clear" w:color="auto" w:fill="FFFFFF" w:themeFill="background1"/>
            <w:tcMar>
              <w:top w:w="60" w:type="dxa"/>
              <w:left w:w="120" w:type="dxa"/>
              <w:bottom w:w="60" w:type="dxa"/>
              <w:right w:w="120" w:type="dxa"/>
            </w:tcMar>
          </w:tcPr>
          <w:p w14:paraId="43DEF8AC"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Ser203</w:t>
            </w:r>
          </w:p>
        </w:tc>
        <w:tc>
          <w:tcPr>
            <w:tcW w:w="2340" w:type="dxa"/>
            <w:shd w:val="clear" w:color="auto" w:fill="FFFFFF" w:themeFill="background1"/>
            <w:tcMar>
              <w:top w:w="60" w:type="dxa"/>
              <w:left w:w="120" w:type="dxa"/>
              <w:bottom w:w="60" w:type="dxa"/>
              <w:right w:w="120" w:type="dxa"/>
            </w:tcMar>
          </w:tcPr>
          <w:p w14:paraId="5BF6B15B"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w:t>
            </w:r>
          </w:p>
        </w:tc>
        <w:tc>
          <w:tcPr>
            <w:tcW w:w="2340" w:type="dxa"/>
            <w:shd w:val="clear" w:color="auto" w:fill="FFFFFF" w:themeFill="background1"/>
            <w:tcMar>
              <w:top w:w="60" w:type="dxa"/>
              <w:left w:w="120" w:type="dxa"/>
              <w:bottom w:w="60" w:type="dxa"/>
              <w:right w:w="120" w:type="dxa"/>
            </w:tcMar>
          </w:tcPr>
          <w:p w14:paraId="21FEC5DB"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Nucleophilic attack on substrate</w:t>
            </w:r>
          </w:p>
        </w:tc>
      </w:tr>
      <w:tr w:rsidR="00F47B55" w:rsidRPr="00C96C5F" w14:paraId="1469EB26"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7FAF8A5C"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Catalytic triad - His</w:t>
            </w:r>
          </w:p>
        </w:tc>
        <w:tc>
          <w:tcPr>
            <w:tcW w:w="2340" w:type="dxa"/>
            <w:shd w:val="clear" w:color="auto" w:fill="FFFFFF" w:themeFill="background1"/>
            <w:tcMar>
              <w:top w:w="60" w:type="dxa"/>
              <w:left w:w="120" w:type="dxa"/>
              <w:bottom w:w="60" w:type="dxa"/>
              <w:right w:w="120" w:type="dxa"/>
            </w:tcMar>
          </w:tcPr>
          <w:p w14:paraId="0C5BF22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His447</w:t>
            </w:r>
          </w:p>
        </w:tc>
        <w:tc>
          <w:tcPr>
            <w:tcW w:w="2340" w:type="dxa"/>
            <w:shd w:val="clear" w:color="auto" w:fill="FFFFFF" w:themeFill="background1"/>
            <w:tcMar>
              <w:top w:w="60" w:type="dxa"/>
              <w:left w:w="120" w:type="dxa"/>
              <w:bottom w:w="60" w:type="dxa"/>
              <w:right w:w="120" w:type="dxa"/>
            </w:tcMar>
          </w:tcPr>
          <w:p w14:paraId="3E653FB2"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w:t>
            </w:r>
          </w:p>
        </w:tc>
        <w:tc>
          <w:tcPr>
            <w:tcW w:w="2340" w:type="dxa"/>
            <w:shd w:val="clear" w:color="auto" w:fill="FFFFFF" w:themeFill="background1"/>
            <w:tcMar>
              <w:top w:w="60" w:type="dxa"/>
              <w:left w:w="120" w:type="dxa"/>
              <w:bottom w:w="60" w:type="dxa"/>
              <w:right w:w="120" w:type="dxa"/>
            </w:tcMar>
          </w:tcPr>
          <w:p w14:paraId="4D4969BA"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General base/acid catalyst</w:t>
            </w:r>
          </w:p>
        </w:tc>
      </w:tr>
      <w:tr w:rsidR="00F47B55" w:rsidRPr="00C96C5F" w14:paraId="6AFA664E"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3E6EDDD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Catalytic triad - Glu</w:t>
            </w:r>
          </w:p>
        </w:tc>
        <w:tc>
          <w:tcPr>
            <w:tcW w:w="2340" w:type="dxa"/>
            <w:shd w:val="clear" w:color="auto" w:fill="FFFFFF" w:themeFill="background1"/>
            <w:tcMar>
              <w:top w:w="60" w:type="dxa"/>
              <w:left w:w="120" w:type="dxa"/>
              <w:bottom w:w="60" w:type="dxa"/>
              <w:right w:w="120" w:type="dxa"/>
            </w:tcMar>
          </w:tcPr>
          <w:p w14:paraId="3E4103BA"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Glu334</w:t>
            </w:r>
          </w:p>
        </w:tc>
        <w:tc>
          <w:tcPr>
            <w:tcW w:w="2340" w:type="dxa"/>
            <w:shd w:val="clear" w:color="auto" w:fill="FFFFFF" w:themeFill="background1"/>
            <w:tcMar>
              <w:top w:w="60" w:type="dxa"/>
              <w:left w:w="120" w:type="dxa"/>
              <w:bottom w:w="60" w:type="dxa"/>
              <w:right w:w="120" w:type="dxa"/>
            </w:tcMar>
          </w:tcPr>
          <w:p w14:paraId="5F38DE1F"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w:t>
            </w:r>
          </w:p>
        </w:tc>
        <w:tc>
          <w:tcPr>
            <w:tcW w:w="2340" w:type="dxa"/>
            <w:shd w:val="clear" w:color="auto" w:fill="FFFFFF" w:themeFill="background1"/>
            <w:tcMar>
              <w:top w:w="60" w:type="dxa"/>
              <w:left w:w="120" w:type="dxa"/>
              <w:bottom w:w="60" w:type="dxa"/>
              <w:right w:w="120" w:type="dxa"/>
            </w:tcMar>
          </w:tcPr>
          <w:p w14:paraId="23AE2627"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Triad stabilization</w:t>
            </w:r>
          </w:p>
        </w:tc>
      </w:tr>
      <w:tr w:rsidR="00F47B55" w:rsidRPr="00C96C5F" w14:paraId="62EA9A26"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2333AAC2"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Oxyanion hole</w:t>
            </w:r>
          </w:p>
        </w:tc>
        <w:tc>
          <w:tcPr>
            <w:tcW w:w="2340" w:type="dxa"/>
            <w:shd w:val="clear" w:color="auto" w:fill="FFFFFF" w:themeFill="background1"/>
            <w:tcMar>
              <w:top w:w="60" w:type="dxa"/>
              <w:left w:w="120" w:type="dxa"/>
              <w:bottom w:w="60" w:type="dxa"/>
              <w:right w:w="120" w:type="dxa"/>
            </w:tcMar>
          </w:tcPr>
          <w:p w14:paraId="102AA806"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Gly121, Gly122, Ala204</w:t>
            </w:r>
          </w:p>
        </w:tc>
        <w:tc>
          <w:tcPr>
            <w:tcW w:w="2340" w:type="dxa"/>
            <w:shd w:val="clear" w:color="auto" w:fill="FFFFFF" w:themeFill="background1"/>
            <w:tcMar>
              <w:top w:w="60" w:type="dxa"/>
              <w:left w:w="120" w:type="dxa"/>
              <w:bottom w:w="60" w:type="dxa"/>
              <w:right w:w="120" w:type="dxa"/>
            </w:tcMar>
          </w:tcPr>
          <w:p w14:paraId="4F7CB5F6"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w:t>
            </w:r>
          </w:p>
        </w:tc>
        <w:tc>
          <w:tcPr>
            <w:tcW w:w="2340" w:type="dxa"/>
            <w:shd w:val="clear" w:color="auto" w:fill="FFFFFF" w:themeFill="background1"/>
            <w:tcMar>
              <w:top w:w="60" w:type="dxa"/>
              <w:left w:w="120" w:type="dxa"/>
              <w:bottom w:w="60" w:type="dxa"/>
              <w:right w:w="120" w:type="dxa"/>
            </w:tcMar>
          </w:tcPr>
          <w:p w14:paraId="7E5D78A7"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Transition state stabilization</w:t>
            </w:r>
          </w:p>
        </w:tc>
      </w:tr>
      <w:tr w:rsidR="00F47B55" w:rsidRPr="00C96C5F" w14:paraId="06A73639"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5D288AD4"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Peripheral anionic site</w:t>
            </w:r>
          </w:p>
        </w:tc>
        <w:tc>
          <w:tcPr>
            <w:tcW w:w="2340" w:type="dxa"/>
            <w:shd w:val="clear" w:color="auto" w:fill="FFFFFF" w:themeFill="background1"/>
            <w:tcMar>
              <w:top w:w="60" w:type="dxa"/>
              <w:left w:w="120" w:type="dxa"/>
              <w:bottom w:w="60" w:type="dxa"/>
              <w:right w:w="120" w:type="dxa"/>
            </w:tcMar>
          </w:tcPr>
          <w:p w14:paraId="7762DDD9"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Trp286, Tyr341, Tyr349</w:t>
            </w:r>
          </w:p>
        </w:tc>
        <w:tc>
          <w:tcPr>
            <w:tcW w:w="2340" w:type="dxa"/>
            <w:shd w:val="clear" w:color="auto" w:fill="FFFFFF" w:themeFill="background1"/>
            <w:tcMar>
              <w:top w:w="60" w:type="dxa"/>
              <w:left w:w="120" w:type="dxa"/>
              <w:bottom w:w="60" w:type="dxa"/>
              <w:right w:w="120" w:type="dxa"/>
            </w:tcMar>
          </w:tcPr>
          <w:p w14:paraId="26E5D12F"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Gorge entrance</w:t>
            </w:r>
          </w:p>
        </w:tc>
        <w:tc>
          <w:tcPr>
            <w:tcW w:w="2340" w:type="dxa"/>
            <w:shd w:val="clear" w:color="auto" w:fill="FFFFFF" w:themeFill="background1"/>
            <w:tcMar>
              <w:top w:w="60" w:type="dxa"/>
              <w:left w:w="120" w:type="dxa"/>
              <w:bottom w:w="60" w:type="dxa"/>
              <w:right w:w="120" w:type="dxa"/>
            </w:tcMar>
          </w:tcPr>
          <w:p w14:paraId="5996BB9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Allosteric regulation / drug binding</w:t>
            </w:r>
          </w:p>
        </w:tc>
      </w:tr>
      <w:tr w:rsidR="00F47B55" w:rsidRPr="00C96C5F" w14:paraId="3685FA12"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57D7DC2F"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Acyl-binding pocket</w:t>
            </w:r>
          </w:p>
        </w:tc>
        <w:tc>
          <w:tcPr>
            <w:tcW w:w="2340" w:type="dxa"/>
            <w:shd w:val="clear" w:color="auto" w:fill="FFFFFF" w:themeFill="background1"/>
            <w:tcMar>
              <w:top w:w="60" w:type="dxa"/>
              <w:left w:w="120" w:type="dxa"/>
              <w:bottom w:w="60" w:type="dxa"/>
              <w:right w:w="120" w:type="dxa"/>
            </w:tcMar>
          </w:tcPr>
          <w:p w14:paraId="0F26C8C0"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Trp236, Phe295, Phe297</w:t>
            </w:r>
          </w:p>
        </w:tc>
        <w:tc>
          <w:tcPr>
            <w:tcW w:w="2340" w:type="dxa"/>
            <w:shd w:val="clear" w:color="auto" w:fill="FFFFFF" w:themeFill="background1"/>
            <w:tcMar>
              <w:top w:w="60" w:type="dxa"/>
              <w:left w:w="120" w:type="dxa"/>
              <w:bottom w:w="60" w:type="dxa"/>
              <w:right w:w="120" w:type="dxa"/>
            </w:tcMar>
          </w:tcPr>
          <w:p w14:paraId="5DF020C6"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 subsite</w:t>
            </w:r>
          </w:p>
        </w:tc>
        <w:tc>
          <w:tcPr>
            <w:tcW w:w="2340" w:type="dxa"/>
            <w:shd w:val="clear" w:color="auto" w:fill="FFFFFF" w:themeFill="background1"/>
            <w:tcMar>
              <w:top w:w="60" w:type="dxa"/>
              <w:left w:w="120" w:type="dxa"/>
              <w:bottom w:w="60" w:type="dxa"/>
              <w:right w:w="120" w:type="dxa"/>
            </w:tcMar>
          </w:tcPr>
          <w:p w14:paraId="60264084"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Acetyl group recognition</w:t>
            </w:r>
          </w:p>
        </w:tc>
      </w:tr>
      <w:tr w:rsidR="00F47B55" w:rsidRPr="00C96C5F" w14:paraId="4D85BFA0"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4CD75084"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Choline-binding site</w:t>
            </w:r>
          </w:p>
        </w:tc>
        <w:tc>
          <w:tcPr>
            <w:tcW w:w="2340" w:type="dxa"/>
            <w:shd w:val="clear" w:color="auto" w:fill="FFFFFF" w:themeFill="background1"/>
            <w:tcMar>
              <w:top w:w="60" w:type="dxa"/>
              <w:left w:w="120" w:type="dxa"/>
              <w:bottom w:w="60" w:type="dxa"/>
              <w:right w:w="120" w:type="dxa"/>
            </w:tcMar>
          </w:tcPr>
          <w:p w14:paraId="7B38B8D5"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Trp86, Glu202</w:t>
            </w:r>
          </w:p>
        </w:tc>
        <w:tc>
          <w:tcPr>
            <w:tcW w:w="2340" w:type="dxa"/>
            <w:shd w:val="clear" w:color="auto" w:fill="FFFFFF" w:themeFill="background1"/>
            <w:tcMar>
              <w:top w:w="60" w:type="dxa"/>
              <w:left w:w="120" w:type="dxa"/>
              <w:bottom w:w="60" w:type="dxa"/>
              <w:right w:w="120" w:type="dxa"/>
            </w:tcMar>
          </w:tcPr>
          <w:p w14:paraId="4A17BE43"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 subsite</w:t>
            </w:r>
          </w:p>
        </w:tc>
        <w:tc>
          <w:tcPr>
            <w:tcW w:w="2340" w:type="dxa"/>
            <w:shd w:val="clear" w:color="auto" w:fill="FFFFFF" w:themeFill="background1"/>
            <w:tcMar>
              <w:top w:w="60" w:type="dxa"/>
              <w:left w:w="120" w:type="dxa"/>
              <w:bottom w:w="60" w:type="dxa"/>
              <w:right w:w="120" w:type="dxa"/>
            </w:tcMar>
          </w:tcPr>
          <w:p w14:paraId="0BEAE5FD"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Quaternary ammonium binding</w:t>
            </w:r>
          </w:p>
        </w:tc>
      </w:tr>
      <w:tr w:rsidR="00F47B55" w:rsidRPr="00C96C5F" w14:paraId="19653E17"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1F15371E"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Omega loop</w:t>
            </w:r>
          </w:p>
        </w:tc>
        <w:tc>
          <w:tcPr>
            <w:tcW w:w="2340" w:type="dxa"/>
            <w:shd w:val="clear" w:color="auto" w:fill="FFFFFF" w:themeFill="background1"/>
            <w:tcMar>
              <w:top w:w="60" w:type="dxa"/>
              <w:left w:w="120" w:type="dxa"/>
              <w:bottom w:w="60" w:type="dxa"/>
              <w:right w:w="120" w:type="dxa"/>
            </w:tcMar>
          </w:tcPr>
          <w:p w14:paraId="0BF03326"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Cys69–Cys96</w:t>
            </w:r>
          </w:p>
        </w:tc>
        <w:tc>
          <w:tcPr>
            <w:tcW w:w="2340" w:type="dxa"/>
            <w:shd w:val="clear" w:color="auto" w:fill="FFFFFF" w:themeFill="background1"/>
            <w:tcMar>
              <w:top w:w="60" w:type="dxa"/>
              <w:left w:w="120" w:type="dxa"/>
              <w:bottom w:w="60" w:type="dxa"/>
              <w:right w:w="120" w:type="dxa"/>
            </w:tcMar>
          </w:tcPr>
          <w:p w14:paraId="18E6E397"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Surface loop</w:t>
            </w:r>
          </w:p>
        </w:tc>
        <w:tc>
          <w:tcPr>
            <w:tcW w:w="2340" w:type="dxa"/>
            <w:shd w:val="clear" w:color="auto" w:fill="FFFFFF" w:themeFill="background1"/>
            <w:tcMar>
              <w:top w:w="60" w:type="dxa"/>
              <w:left w:w="120" w:type="dxa"/>
              <w:bottom w:w="60" w:type="dxa"/>
              <w:right w:w="120" w:type="dxa"/>
            </w:tcMar>
          </w:tcPr>
          <w:p w14:paraId="6CB5E6D4" w14:textId="77777777" w:rsidR="00F47B55" w:rsidRPr="00C96C5F" w:rsidRDefault="00F47B55"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Structural stabilization via disulfide</w:t>
            </w:r>
          </w:p>
        </w:tc>
      </w:tr>
    </w:tbl>
    <w:p w14:paraId="5C0BC18F" w14:textId="77777777" w:rsidR="00F47B55" w:rsidRPr="00C96C5F" w:rsidRDefault="00F47B55" w:rsidP="00F47B55">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3.5  Conclusion</w:t>
      </w:r>
      <w:proofErr w:type="gramEnd"/>
    </w:p>
    <w:p w14:paraId="4A0D768C" w14:textId="77777777" w:rsidR="00F47B55" w:rsidRPr="00C96C5F" w:rsidRDefault="00F47B55" w:rsidP="00F47B55">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Computational structure prediction of human Acetylcholinesterase using AlphaFold2 and SWISS-MODEL yielded high-confidence 3D models revealing the characteristic alpha/beta hydrolase fold, deep catalytic gorge, and the Ser-His-Glu catalytic triad. The predicted structure is consistent with experimental crystal structures and provides atomic-level understanding of substrate binding and drug inhibition mechanisms. These structural insights directly support rational drug design efforts for Alzheimer's disease therapeutics.</w:t>
      </w:r>
    </w:p>
    <w:p w14:paraId="128AF8BC" w14:textId="77777777" w:rsidR="007774F6" w:rsidRDefault="007774F6"/>
    <w:sectPr w:rsidR="00777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3B2C"/>
    <w:multiLevelType w:val="hybridMultilevel"/>
    <w:tmpl w:val="7C48334E"/>
    <w:lvl w:ilvl="0" w:tplc="C958E952">
      <w:start w:val="1"/>
      <w:numFmt w:val="bullet"/>
      <w:lvlText w:val="•"/>
      <w:lvlJc w:val="left"/>
      <w:pPr>
        <w:ind w:left="720" w:hanging="360"/>
      </w:pPr>
    </w:lvl>
    <w:lvl w:ilvl="1" w:tplc="6AFE2E24">
      <w:numFmt w:val="decimal"/>
      <w:lvlText w:val=""/>
      <w:lvlJc w:val="left"/>
    </w:lvl>
    <w:lvl w:ilvl="2" w:tplc="7512B59E">
      <w:numFmt w:val="decimal"/>
      <w:lvlText w:val=""/>
      <w:lvlJc w:val="left"/>
    </w:lvl>
    <w:lvl w:ilvl="3" w:tplc="08B45530">
      <w:numFmt w:val="decimal"/>
      <w:lvlText w:val=""/>
      <w:lvlJc w:val="left"/>
    </w:lvl>
    <w:lvl w:ilvl="4" w:tplc="94063E9E">
      <w:numFmt w:val="decimal"/>
      <w:lvlText w:val=""/>
      <w:lvlJc w:val="left"/>
    </w:lvl>
    <w:lvl w:ilvl="5" w:tplc="B9F6C7C2">
      <w:numFmt w:val="decimal"/>
      <w:lvlText w:val=""/>
      <w:lvlJc w:val="left"/>
    </w:lvl>
    <w:lvl w:ilvl="6" w:tplc="0E38C0BA">
      <w:numFmt w:val="decimal"/>
      <w:lvlText w:val=""/>
      <w:lvlJc w:val="left"/>
    </w:lvl>
    <w:lvl w:ilvl="7" w:tplc="31829714">
      <w:numFmt w:val="decimal"/>
      <w:lvlText w:val=""/>
      <w:lvlJc w:val="left"/>
    </w:lvl>
    <w:lvl w:ilvl="8" w:tplc="78665604">
      <w:numFmt w:val="decimal"/>
      <w:lvlText w:val=""/>
      <w:lvlJc w:val="left"/>
    </w:lvl>
  </w:abstractNum>
  <w:num w:numId="1" w16cid:durableId="119256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55"/>
    <w:rsid w:val="003101D1"/>
    <w:rsid w:val="00323D4A"/>
    <w:rsid w:val="007774F6"/>
    <w:rsid w:val="00F47B55"/>
    <w:rsid w:val="00FC7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9306"/>
  <w15:chartTrackingRefBased/>
  <w15:docId w15:val="{3D15EC22-BED2-45E6-AC11-6DD96F9A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B55"/>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F47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B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55"/>
    <w:rPr>
      <w:rFonts w:eastAsiaTheme="majorEastAsia" w:cstheme="majorBidi"/>
      <w:color w:val="272727" w:themeColor="text1" w:themeTint="D8"/>
    </w:rPr>
  </w:style>
  <w:style w:type="paragraph" w:styleId="Title">
    <w:name w:val="Title"/>
    <w:basedOn w:val="Normal"/>
    <w:next w:val="Normal"/>
    <w:link w:val="TitleChar"/>
    <w:uiPriority w:val="10"/>
    <w:qFormat/>
    <w:rsid w:val="00F47B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55"/>
    <w:pPr>
      <w:spacing w:before="160"/>
      <w:jc w:val="center"/>
    </w:pPr>
    <w:rPr>
      <w:i/>
      <w:iCs/>
      <w:color w:val="404040" w:themeColor="text1" w:themeTint="BF"/>
    </w:rPr>
  </w:style>
  <w:style w:type="character" w:customStyle="1" w:styleId="QuoteChar">
    <w:name w:val="Quote Char"/>
    <w:basedOn w:val="DefaultParagraphFont"/>
    <w:link w:val="Quote"/>
    <w:uiPriority w:val="29"/>
    <w:rsid w:val="00F47B55"/>
    <w:rPr>
      <w:i/>
      <w:iCs/>
      <w:color w:val="404040" w:themeColor="text1" w:themeTint="BF"/>
    </w:rPr>
  </w:style>
  <w:style w:type="paragraph" w:styleId="ListParagraph">
    <w:name w:val="List Paragraph"/>
    <w:basedOn w:val="Normal"/>
    <w:qFormat/>
    <w:rsid w:val="00F47B55"/>
    <w:pPr>
      <w:ind w:left="720"/>
      <w:contextualSpacing/>
    </w:pPr>
  </w:style>
  <w:style w:type="character" w:styleId="IntenseEmphasis">
    <w:name w:val="Intense Emphasis"/>
    <w:basedOn w:val="DefaultParagraphFont"/>
    <w:uiPriority w:val="21"/>
    <w:qFormat/>
    <w:rsid w:val="00F47B55"/>
    <w:rPr>
      <w:i/>
      <w:iCs/>
      <w:color w:val="0F4761" w:themeColor="accent1" w:themeShade="BF"/>
    </w:rPr>
  </w:style>
  <w:style w:type="paragraph" w:styleId="IntenseQuote">
    <w:name w:val="Intense Quote"/>
    <w:basedOn w:val="Normal"/>
    <w:next w:val="Normal"/>
    <w:link w:val="IntenseQuoteChar"/>
    <w:uiPriority w:val="30"/>
    <w:qFormat/>
    <w:rsid w:val="00F47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55"/>
    <w:rPr>
      <w:i/>
      <w:iCs/>
      <w:color w:val="0F4761" w:themeColor="accent1" w:themeShade="BF"/>
    </w:rPr>
  </w:style>
  <w:style w:type="character" w:styleId="IntenseReference">
    <w:name w:val="Intense Reference"/>
    <w:basedOn w:val="DefaultParagraphFont"/>
    <w:uiPriority w:val="32"/>
    <w:qFormat/>
    <w:rsid w:val="00F47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Avanthy Sumi</dc:creator>
  <cp:keywords/>
  <dc:description/>
  <cp:lastModifiedBy>Avanthy Sumi</cp:lastModifiedBy>
  <cp:revision>1</cp:revision>
  <dcterms:created xsi:type="dcterms:W3CDTF">2026-06-10T15:37:00Z</dcterms:created>
  <dcterms:modified xsi:type="dcterms:W3CDTF">2026-06-10T15:41:00Z</dcterms:modified>
</cp:coreProperties>
</file>