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000" w:firstRow="0" w:lastRow="0" w:firstColumn="0" w:lastColumn="0" w:noHBand="0" w:noVBand="0"/>
      </w:tblPr>
      <w:tblGrid>
        <w:gridCol w:w="9360"/>
      </w:tblGrid>
      <w:tr w:rsidR="001E6242" w:rsidRPr="00C96C5F" w14:paraId="5E2CA7B2" w14:textId="77777777" w:rsidTr="00472285">
        <w:tblPrEx>
          <w:tblCellMar>
            <w:top w:w="0" w:type="dxa"/>
            <w:bottom w:w="0" w:type="dxa"/>
          </w:tblCellMar>
        </w:tblPrEx>
        <w:tc>
          <w:tcPr>
            <w:tcW w:w="9360" w:type="dxa"/>
            <w:shd w:val="clear" w:color="auto" w:fill="FFFFFF" w:themeFill="background1"/>
            <w:tcMar>
              <w:top w:w="120" w:type="dxa"/>
              <w:left w:w="200" w:type="dxa"/>
              <w:bottom w:w="120" w:type="dxa"/>
              <w:right w:w="200" w:type="dxa"/>
            </w:tcMar>
          </w:tcPr>
          <w:p w14:paraId="70B801DE"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TASK 4: Mini Project – Bioinformatics Database/Tool Study</w:t>
            </w:r>
          </w:p>
        </w:tc>
      </w:tr>
    </w:tbl>
    <w:p w14:paraId="722A2FDA" w14:textId="77777777" w:rsidR="001E6242" w:rsidRPr="00C96C5F" w:rsidRDefault="001E6242" w:rsidP="001E6242">
      <w:pPr>
        <w:spacing w:before="100" w:after="100" w:line="276" w:lineRule="auto"/>
        <w:jc w:val="both"/>
        <w:rPr>
          <w:rFonts w:ascii="Times New Roman" w:hAnsi="Times New Roman" w:cs="Times New Roman"/>
          <w:color w:val="000000" w:themeColor="text1"/>
          <w:sz w:val="24"/>
          <w:szCs w:val="24"/>
        </w:rPr>
      </w:pPr>
    </w:p>
    <w:p w14:paraId="577AB661" w14:textId="77777777" w:rsidR="001E6242" w:rsidRPr="00C96C5F" w:rsidRDefault="001E6242" w:rsidP="001E6242">
      <w:pPr>
        <w:spacing w:before="120" w:after="24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i/>
          <w:iCs/>
          <w:color w:val="000000" w:themeColor="text1"/>
          <w:sz w:val="24"/>
          <w:szCs w:val="24"/>
        </w:rPr>
        <w:t xml:space="preserve">Comparative Study of Major Bioinformatics Databases: NCBI, </w:t>
      </w:r>
      <w:proofErr w:type="spellStart"/>
      <w:r w:rsidRPr="00C96C5F">
        <w:rPr>
          <w:rFonts w:ascii="Times New Roman" w:hAnsi="Times New Roman" w:cs="Times New Roman"/>
          <w:b/>
          <w:bCs/>
          <w:i/>
          <w:iCs/>
          <w:color w:val="000000" w:themeColor="text1"/>
          <w:sz w:val="24"/>
          <w:szCs w:val="24"/>
        </w:rPr>
        <w:t>UniProt</w:t>
      </w:r>
      <w:proofErr w:type="spellEnd"/>
      <w:r w:rsidRPr="00C96C5F">
        <w:rPr>
          <w:rFonts w:ascii="Times New Roman" w:hAnsi="Times New Roman" w:cs="Times New Roman"/>
          <w:b/>
          <w:bCs/>
          <w:i/>
          <w:iCs/>
          <w:color w:val="000000" w:themeColor="text1"/>
          <w:sz w:val="24"/>
          <w:szCs w:val="24"/>
        </w:rPr>
        <w:t>, and PDB</w:t>
      </w:r>
    </w:p>
    <w:p w14:paraId="19B38E91" w14:textId="77777777" w:rsidR="001E6242" w:rsidRPr="00C96C5F" w:rsidRDefault="001E6242" w:rsidP="001E6242">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4.1  Introduction</w:t>
      </w:r>
      <w:proofErr w:type="gramEnd"/>
    </w:p>
    <w:p w14:paraId="187116A9"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Bioinformatics databases are the foundational infrastructure of modern molecular biology and biomedical research. They serve as centralized, curated repositories of biological data—encompassing nucleotide sequences, protein sequences, three-dimensional structures, functional annotations, and experimental metadata. The three most widely used and internationally recognized databases are:</w:t>
      </w:r>
    </w:p>
    <w:p w14:paraId="457F1DE5"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NCBI (National </w:t>
      </w:r>
      <w:proofErr w:type="spellStart"/>
      <w:r w:rsidRPr="00C96C5F">
        <w:rPr>
          <w:rFonts w:ascii="Times New Roman" w:hAnsi="Times New Roman" w:cs="Times New Roman"/>
          <w:color w:val="000000" w:themeColor="text1"/>
          <w:sz w:val="24"/>
          <w:szCs w:val="24"/>
        </w:rPr>
        <w:t>Center</w:t>
      </w:r>
      <w:proofErr w:type="spellEnd"/>
      <w:r w:rsidRPr="00C96C5F">
        <w:rPr>
          <w:rFonts w:ascii="Times New Roman" w:hAnsi="Times New Roman" w:cs="Times New Roman"/>
          <w:color w:val="000000" w:themeColor="text1"/>
          <w:sz w:val="24"/>
          <w:szCs w:val="24"/>
        </w:rPr>
        <w:t xml:space="preserve"> for Biotechnology Information) — nucleotide/protein sequences, literature, and genomics</w:t>
      </w:r>
    </w:p>
    <w:p w14:paraId="38AAC57D"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t>UniProt</w:t>
      </w:r>
      <w:proofErr w:type="spellEnd"/>
      <w:r w:rsidRPr="00C96C5F">
        <w:rPr>
          <w:rFonts w:ascii="Times New Roman" w:hAnsi="Times New Roman" w:cs="Times New Roman"/>
          <w:color w:val="000000" w:themeColor="text1"/>
          <w:sz w:val="24"/>
          <w:szCs w:val="24"/>
        </w:rPr>
        <w:t xml:space="preserve"> (Universal Protein Resource) — comprehensive, curated protein sequence and functional data</w:t>
      </w:r>
    </w:p>
    <w:p w14:paraId="0A672A73"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PDB (Protein Data Bank) — experimentally determined 3D macromolecular structures</w:t>
      </w:r>
    </w:p>
    <w:p w14:paraId="32D42FAE"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This mini-project provides a comprehensive comparative analysis of these three databases, evaluating their scope, curation quality, data access tools, and research applications.</w:t>
      </w:r>
    </w:p>
    <w:p w14:paraId="1135FF01" w14:textId="77777777" w:rsidR="001E6242" w:rsidRPr="00C96C5F" w:rsidRDefault="001E6242" w:rsidP="001E6242">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4.2  NCBI</w:t>
      </w:r>
      <w:proofErr w:type="gramEnd"/>
      <w:r w:rsidRPr="00C96C5F">
        <w:rPr>
          <w:rFonts w:ascii="Times New Roman" w:hAnsi="Times New Roman" w:cs="Times New Roman"/>
          <w:b/>
          <w:bCs/>
          <w:color w:val="000000" w:themeColor="text1"/>
          <w:sz w:val="24"/>
          <w:szCs w:val="24"/>
        </w:rPr>
        <w:t xml:space="preserve"> – National </w:t>
      </w:r>
      <w:proofErr w:type="spellStart"/>
      <w:r w:rsidRPr="00C96C5F">
        <w:rPr>
          <w:rFonts w:ascii="Times New Roman" w:hAnsi="Times New Roman" w:cs="Times New Roman"/>
          <w:b/>
          <w:bCs/>
          <w:color w:val="000000" w:themeColor="text1"/>
          <w:sz w:val="24"/>
          <w:szCs w:val="24"/>
        </w:rPr>
        <w:t>Center</w:t>
      </w:r>
      <w:proofErr w:type="spellEnd"/>
      <w:r w:rsidRPr="00C96C5F">
        <w:rPr>
          <w:rFonts w:ascii="Times New Roman" w:hAnsi="Times New Roman" w:cs="Times New Roman"/>
          <w:b/>
          <w:bCs/>
          <w:color w:val="000000" w:themeColor="text1"/>
          <w:sz w:val="24"/>
          <w:szCs w:val="24"/>
        </w:rPr>
        <w:t xml:space="preserve"> for Biotechnology Information</w:t>
      </w:r>
    </w:p>
    <w:p w14:paraId="5F848634" w14:textId="77777777" w:rsidR="001E6242" w:rsidRPr="00C96C5F" w:rsidRDefault="001E6242" w:rsidP="001E6242">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Overview and History</w:t>
      </w:r>
    </w:p>
    <w:p w14:paraId="7A1D659C"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NCBI was established in 1988 as part of the National Library of Medicine (NLM) at the U.S. National Institutes of Health (NIH). Originally created to store DNA sequences, NCBI has expanded into the world's largest integrated biomedical information platform, hosting over 40 interconnected databases.</w:t>
      </w:r>
    </w:p>
    <w:p w14:paraId="54D00104" w14:textId="77777777" w:rsidR="001E6242" w:rsidRPr="00C96C5F" w:rsidRDefault="001E6242" w:rsidP="001E6242">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Major Sub-Databases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340"/>
        <w:gridCol w:w="2340"/>
        <w:gridCol w:w="2340"/>
        <w:gridCol w:w="2340"/>
      </w:tblGrid>
      <w:tr w:rsidR="001E6242" w:rsidRPr="00C96C5F" w14:paraId="20BDE22C" w14:textId="77777777" w:rsidTr="00472285">
        <w:tblPrEx>
          <w:tblCellMar>
            <w:top w:w="0" w:type="dxa"/>
            <w:bottom w:w="0" w:type="dxa"/>
          </w:tblCellMar>
        </w:tblPrEx>
        <w:tc>
          <w:tcPr>
            <w:tcW w:w="2340" w:type="dxa"/>
            <w:shd w:val="clear" w:color="auto" w:fill="FFFFFF" w:themeFill="background1"/>
            <w:tcMar>
              <w:top w:w="80" w:type="dxa"/>
              <w:left w:w="120" w:type="dxa"/>
              <w:bottom w:w="80" w:type="dxa"/>
              <w:right w:w="120" w:type="dxa"/>
            </w:tcMar>
          </w:tcPr>
          <w:p w14:paraId="4AC3CD4B"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Database</w:t>
            </w:r>
          </w:p>
        </w:tc>
        <w:tc>
          <w:tcPr>
            <w:tcW w:w="2340" w:type="dxa"/>
            <w:shd w:val="clear" w:color="auto" w:fill="FFFFFF" w:themeFill="background1"/>
            <w:tcMar>
              <w:top w:w="80" w:type="dxa"/>
              <w:left w:w="120" w:type="dxa"/>
              <w:bottom w:w="80" w:type="dxa"/>
              <w:right w:w="120" w:type="dxa"/>
            </w:tcMar>
          </w:tcPr>
          <w:p w14:paraId="54A7A417"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Content Type</w:t>
            </w:r>
          </w:p>
        </w:tc>
        <w:tc>
          <w:tcPr>
            <w:tcW w:w="2340" w:type="dxa"/>
            <w:shd w:val="clear" w:color="auto" w:fill="FFFFFF" w:themeFill="background1"/>
            <w:tcMar>
              <w:top w:w="80" w:type="dxa"/>
              <w:left w:w="120" w:type="dxa"/>
              <w:bottom w:w="80" w:type="dxa"/>
              <w:right w:w="120" w:type="dxa"/>
            </w:tcMar>
          </w:tcPr>
          <w:p w14:paraId="3E4EEB2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Records (approx.)</w:t>
            </w:r>
          </w:p>
        </w:tc>
        <w:tc>
          <w:tcPr>
            <w:tcW w:w="2340" w:type="dxa"/>
            <w:shd w:val="clear" w:color="auto" w:fill="FFFFFF" w:themeFill="background1"/>
            <w:tcMar>
              <w:top w:w="80" w:type="dxa"/>
              <w:left w:w="120" w:type="dxa"/>
              <w:bottom w:w="80" w:type="dxa"/>
              <w:right w:w="120" w:type="dxa"/>
            </w:tcMar>
          </w:tcPr>
          <w:p w14:paraId="749F5CF4"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Primary Use</w:t>
            </w:r>
          </w:p>
        </w:tc>
      </w:tr>
      <w:tr w:rsidR="001E6242" w:rsidRPr="00C96C5F" w14:paraId="3E2975A6"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2F9A6A4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GenBank</w:t>
            </w:r>
          </w:p>
        </w:tc>
        <w:tc>
          <w:tcPr>
            <w:tcW w:w="2340" w:type="dxa"/>
            <w:shd w:val="clear" w:color="auto" w:fill="FFFFFF" w:themeFill="background1"/>
            <w:tcMar>
              <w:top w:w="60" w:type="dxa"/>
              <w:left w:w="120" w:type="dxa"/>
              <w:bottom w:w="60" w:type="dxa"/>
              <w:right w:w="120" w:type="dxa"/>
            </w:tcMar>
          </w:tcPr>
          <w:p w14:paraId="51EB2943"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DNA/RNA sequences</w:t>
            </w:r>
          </w:p>
        </w:tc>
        <w:tc>
          <w:tcPr>
            <w:tcW w:w="2340" w:type="dxa"/>
            <w:shd w:val="clear" w:color="auto" w:fill="FFFFFF" w:themeFill="background1"/>
            <w:tcMar>
              <w:top w:w="60" w:type="dxa"/>
              <w:left w:w="120" w:type="dxa"/>
              <w:bottom w:w="60" w:type="dxa"/>
              <w:right w:w="120" w:type="dxa"/>
            </w:tcMar>
          </w:tcPr>
          <w:p w14:paraId="459ACD86"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~250 billion bases</w:t>
            </w:r>
          </w:p>
        </w:tc>
        <w:tc>
          <w:tcPr>
            <w:tcW w:w="2340" w:type="dxa"/>
            <w:shd w:val="clear" w:color="auto" w:fill="FFFFFF" w:themeFill="background1"/>
            <w:tcMar>
              <w:top w:w="60" w:type="dxa"/>
              <w:left w:w="120" w:type="dxa"/>
              <w:bottom w:w="60" w:type="dxa"/>
              <w:right w:w="120" w:type="dxa"/>
            </w:tcMar>
          </w:tcPr>
          <w:p w14:paraId="5ECB73E1"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Sequence submission and retrieval</w:t>
            </w:r>
          </w:p>
        </w:tc>
      </w:tr>
      <w:tr w:rsidR="001E6242" w:rsidRPr="00C96C5F" w14:paraId="4A450DB8"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5793454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t>RefSeq</w:t>
            </w:r>
            <w:proofErr w:type="spellEnd"/>
          </w:p>
        </w:tc>
        <w:tc>
          <w:tcPr>
            <w:tcW w:w="2340" w:type="dxa"/>
            <w:shd w:val="clear" w:color="auto" w:fill="FFFFFF" w:themeFill="background1"/>
            <w:tcMar>
              <w:top w:w="60" w:type="dxa"/>
              <w:left w:w="120" w:type="dxa"/>
              <w:bottom w:w="60" w:type="dxa"/>
              <w:right w:w="120" w:type="dxa"/>
            </w:tcMar>
          </w:tcPr>
          <w:p w14:paraId="47D4DAA7"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Reference sequences</w:t>
            </w:r>
          </w:p>
        </w:tc>
        <w:tc>
          <w:tcPr>
            <w:tcW w:w="2340" w:type="dxa"/>
            <w:shd w:val="clear" w:color="auto" w:fill="FFFFFF" w:themeFill="background1"/>
            <w:tcMar>
              <w:top w:w="60" w:type="dxa"/>
              <w:left w:w="120" w:type="dxa"/>
              <w:bottom w:w="60" w:type="dxa"/>
              <w:right w:w="120" w:type="dxa"/>
            </w:tcMar>
          </w:tcPr>
          <w:p w14:paraId="4BD5252A"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~220 million records</w:t>
            </w:r>
          </w:p>
        </w:tc>
        <w:tc>
          <w:tcPr>
            <w:tcW w:w="2340" w:type="dxa"/>
            <w:shd w:val="clear" w:color="auto" w:fill="FFFFFF" w:themeFill="background1"/>
            <w:tcMar>
              <w:top w:w="60" w:type="dxa"/>
              <w:left w:w="120" w:type="dxa"/>
              <w:bottom w:w="60" w:type="dxa"/>
              <w:right w:w="120" w:type="dxa"/>
            </w:tcMar>
          </w:tcPr>
          <w:p w14:paraId="4AFF96B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Standardized reference data</w:t>
            </w:r>
          </w:p>
        </w:tc>
      </w:tr>
      <w:tr w:rsidR="001E6242" w:rsidRPr="00C96C5F" w14:paraId="6862E1CB"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562C2AA1"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PubMed</w:t>
            </w:r>
          </w:p>
        </w:tc>
        <w:tc>
          <w:tcPr>
            <w:tcW w:w="2340" w:type="dxa"/>
            <w:shd w:val="clear" w:color="auto" w:fill="FFFFFF" w:themeFill="background1"/>
            <w:tcMar>
              <w:top w:w="60" w:type="dxa"/>
              <w:left w:w="120" w:type="dxa"/>
              <w:bottom w:w="60" w:type="dxa"/>
              <w:right w:w="120" w:type="dxa"/>
            </w:tcMar>
          </w:tcPr>
          <w:p w14:paraId="776C33B5"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Biomedical literature</w:t>
            </w:r>
          </w:p>
        </w:tc>
        <w:tc>
          <w:tcPr>
            <w:tcW w:w="2340" w:type="dxa"/>
            <w:shd w:val="clear" w:color="auto" w:fill="FFFFFF" w:themeFill="background1"/>
            <w:tcMar>
              <w:top w:w="60" w:type="dxa"/>
              <w:left w:w="120" w:type="dxa"/>
              <w:bottom w:w="60" w:type="dxa"/>
              <w:right w:w="120" w:type="dxa"/>
            </w:tcMar>
          </w:tcPr>
          <w:p w14:paraId="0D08A310"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~35 million articles</w:t>
            </w:r>
          </w:p>
        </w:tc>
        <w:tc>
          <w:tcPr>
            <w:tcW w:w="2340" w:type="dxa"/>
            <w:shd w:val="clear" w:color="auto" w:fill="FFFFFF" w:themeFill="background1"/>
            <w:tcMar>
              <w:top w:w="60" w:type="dxa"/>
              <w:left w:w="120" w:type="dxa"/>
              <w:bottom w:w="60" w:type="dxa"/>
              <w:right w:w="120" w:type="dxa"/>
            </w:tcMar>
          </w:tcPr>
          <w:p w14:paraId="1F645D7A"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Literature search</w:t>
            </w:r>
          </w:p>
        </w:tc>
      </w:tr>
      <w:tr w:rsidR="001E6242" w:rsidRPr="00C96C5F" w14:paraId="0A911AA9"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347D05BC"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t>dbSNP</w:t>
            </w:r>
            <w:proofErr w:type="spellEnd"/>
          </w:p>
        </w:tc>
        <w:tc>
          <w:tcPr>
            <w:tcW w:w="2340" w:type="dxa"/>
            <w:shd w:val="clear" w:color="auto" w:fill="FFFFFF" w:themeFill="background1"/>
            <w:tcMar>
              <w:top w:w="60" w:type="dxa"/>
              <w:left w:w="120" w:type="dxa"/>
              <w:bottom w:w="60" w:type="dxa"/>
              <w:right w:w="120" w:type="dxa"/>
            </w:tcMar>
          </w:tcPr>
          <w:p w14:paraId="3B51C0BC"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Single nucleotide polymorphisms</w:t>
            </w:r>
          </w:p>
        </w:tc>
        <w:tc>
          <w:tcPr>
            <w:tcW w:w="2340" w:type="dxa"/>
            <w:shd w:val="clear" w:color="auto" w:fill="FFFFFF" w:themeFill="background1"/>
            <w:tcMar>
              <w:top w:w="60" w:type="dxa"/>
              <w:left w:w="120" w:type="dxa"/>
              <w:bottom w:w="60" w:type="dxa"/>
              <w:right w:w="120" w:type="dxa"/>
            </w:tcMar>
          </w:tcPr>
          <w:p w14:paraId="4A5BB20E"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~1 billion SNPs</w:t>
            </w:r>
          </w:p>
        </w:tc>
        <w:tc>
          <w:tcPr>
            <w:tcW w:w="2340" w:type="dxa"/>
            <w:shd w:val="clear" w:color="auto" w:fill="FFFFFF" w:themeFill="background1"/>
            <w:tcMar>
              <w:top w:w="60" w:type="dxa"/>
              <w:left w:w="120" w:type="dxa"/>
              <w:bottom w:w="60" w:type="dxa"/>
              <w:right w:w="120" w:type="dxa"/>
            </w:tcMar>
          </w:tcPr>
          <w:p w14:paraId="3ACAA10C"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Genetic variation analysis</w:t>
            </w:r>
          </w:p>
        </w:tc>
      </w:tr>
      <w:tr w:rsidR="001E6242" w:rsidRPr="00C96C5F" w14:paraId="4BFC7DA5"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7BB87BF0"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Gene</w:t>
            </w:r>
          </w:p>
        </w:tc>
        <w:tc>
          <w:tcPr>
            <w:tcW w:w="2340" w:type="dxa"/>
            <w:shd w:val="clear" w:color="auto" w:fill="FFFFFF" w:themeFill="background1"/>
            <w:tcMar>
              <w:top w:w="60" w:type="dxa"/>
              <w:left w:w="120" w:type="dxa"/>
              <w:bottom w:w="60" w:type="dxa"/>
              <w:right w:w="120" w:type="dxa"/>
            </w:tcMar>
          </w:tcPr>
          <w:p w14:paraId="6F77AF61"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Gene-</w:t>
            </w:r>
            <w:proofErr w:type="spellStart"/>
            <w:r w:rsidRPr="00C96C5F">
              <w:rPr>
                <w:rFonts w:ascii="Times New Roman" w:hAnsi="Times New Roman" w:cs="Times New Roman"/>
                <w:color w:val="000000" w:themeColor="text1"/>
                <w:sz w:val="24"/>
                <w:szCs w:val="24"/>
              </w:rPr>
              <w:t>centered</w:t>
            </w:r>
            <w:proofErr w:type="spellEnd"/>
            <w:r w:rsidRPr="00C96C5F">
              <w:rPr>
                <w:rFonts w:ascii="Times New Roman" w:hAnsi="Times New Roman" w:cs="Times New Roman"/>
                <w:color w:val="000000" w:themeColor="text1"/>
                <w:sz w:val="24"/>
                <w:szCs w:val="24"/>
              </w:rPr>
              <w:t xml:space="preserve"> information</w:t>
            </w:r>
          </w:p>
        </w:tc>
        <w:tc>
          <w:tcPr>
            <w:tcW w:w="2340" w:type="dxa"/>
            <w:shd w:val="clear" w:color="auto" w:fill="FFFFFF" w:themeFill="background1"/>
            <w:tcMar>
              <w:top w:w="60" w:type="dxa"/>
              <w:left w:w="120" w:type="dxa"/>
              <w:bottom w:w="60" w:type="dxa"/>
              <w:right w:w="120" w:type="dxa"/>
            </w:tcMar>
          </w:tcPr>
          <w:p w14:paraId="5D900C8E"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~24 million genes</w:t>
            </w:r>
          </w:p>
        </w:tc>
        <w:tc>
          <w:tcPr>
            <w:tcW w:w="2340" w:type="dxa"/>
            <w:shd w:val="clear" w:color="auto" w:fill="FFFFFF" w:themeFill="background1"/>
            <w:tcMar>
              <w:top w:w="60" w:type="dxa"/>
              <w:left w:w="120" w:type="dxa"/>
              <w:bottom w:w="60" w:type="dxa"/>
              <w:right w:w="120" w:type="dxa"/>
            </w:tcMar>
          </w:tcPr>
          <w:p w14:paraId="7A3E8836"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Gene annotation lookup</w:t>
            </w:r>
          </w:p>
        </w:tc>
      </w:tr>
      <w:tr w:rsidR="001E6242" w:rsidRPr="00C96C5F" w14:paraId="30649CDF"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306D10DD"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Protein</w:t>
            </w:r>
          </w:p>
        </w:tc>
        <w:tc>
          <w:tcPr>
            <w:tcW w:w="2340" w:type="dxa"/>
            <w:shd w:val="clear" w:color="auto" w:fill="FFFFFF" w:themeFill="background1"/>
            <w:tcMar>
              <w:top w:w="60" w:type="dxa"/>
              <w:left w:w="120" w:type="dxa"/>
              <w:bottom w:w="60" w:type="dxa"/>
              <w:right w:w="120" w:type="dxa"/>
            </w:tcMar>
          </w:tcPr>
          <w:p w14:paraId="632CB3AB"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Protein sequences</w:t>
            </w:r>
          </w:p>
        </w:tc>
        <w:tc>
          <w:tcPr>
            <w:tcW w:w="2340" w:type="dxa"/>
            <w:shd w:val="clear" w:color="auto" w:fill="FFFFFF" w:themeFill="background1"/>
            <w:tcMar>
              <w:top w:w="60" w:type="dxa"/>
              <w:left w:w="120" w:type="dxa"/>
              <w:bottom w:w="60" w:type="dxa"/>
              <w:right w:w="120" w:type="dxa"/>
            </w:tcMar>
          </w:tcPr>
          <w:p w14:paraId="44F5889A"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~900 million records</w:t>
            </w:r>
          </w:p>
        </w:tc>
        <w:tc>
          <w:tcPr>
            <w:tcW w:w="2340" w:type="dxa"/>
            <w:shd w:val="clear" w:color="auto" w:fill="FFFFFF" w:themeFill="background1"/>
            <w:tcMar>
              <w:top w:w="60" w:type="dxa"/>
              <w:left w:w="120" w:type="dxa"/>
              <w:bottom w:w="60" w:type="dxa"/>
              <w:right w:w="120" w:type="dxa"/>
            </w:tcMar>
          </w:tcPr>
          <w:p w14:paraId="1A8661DA"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Protein sequence search</w:t>
            </w:r>
          </w:p>
        </w:tc>
      </w:tr>
      <w:tr w:rsidR="001E6242" w:rsidRPr="00C96C5F" w14:paraId="0E1E9D5C"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1EE2E517"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lastRenderedPageBreak/>
              <w:t>ClinVar</w:t>
            </w:r>
            <w:proofErr w:type="spellEnd"/>
          </w:p>
        </w:tc>
        <w:tc>
          <w:tcPr>
            <w:tcW w:w="2340" w:type="dxa"/>
            <w:shd w:val="clear" w:color="auto" w:fill="FFFFFF" w:themeFill="background1"/>
            <w:tcMar>
              <w:top w:w="60" w:type="dxa"/>
              <w:left w:w="120" w:type="dxa"/>
              <w:bottom w:w="60" w:type="dxa"/>
              <w:right w:w="120" w:type="dxa"/>
            </w:tcMar>
          </w:tcPr>
          <w:p w14:paraId="017B612D"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Clinical variants</w:t>
            </w:r>
          </w:p>
        </w:tc>
        <w:tc>
          <w:tcPr>
            <w:tcW w:w="2340" w:type="dxa"/>
            <w:shd w:val="clear" w:color="auto" w:fill="FFFFFF" w:themeFill="background1"/>
            <w:tcMar>
              <w:top w:w="60" w:type="dxa"/>
              <w:left w:w="120" w:type="dxa"/>
              <w:bottom w:w="60" w:type="dxa"/>
              <w:right w:w="120" w:type="dxa"/>
            </w:tcMar>
          </w:tcPr>
          <w:p w14:paraId="754BA933"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~2 million variants</w:t>
            </w:r>
          </w:p>
        </w:tc>
        <w:tc>
          <w:tcPr>
            <w:tcW w:w="2340" w:type="dxa"/>
            <w:shd w:val="clear" w:color="auto" w:fill="FFFFFF" w:themeFill="background1"/>
            <w:tcMar>
              <w:top w:w="60" w:type="dxa"/>
              <w:left w:w="120" w:type="dxa"/>
              <w:bottom w:w="60" w:type="dxa"/>
              <w:right w:w="120" w:type="dxa"/>
            </w:tcMar>
          </w:tcPr>
          <w:p w14:paraId="72A71006"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Clinical genomics</w:t>
            </w:r>
          </w:p>
        </w:tc>
      </w:tr>
      <w:tr w:rsidR="001E6242" w:rsidRPr="00C96C5F" w14:paraId="678C5259"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47878A8B"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GEO</w:t>
            </w:r>
          </w:p>
        </w:tc>
        <w:tc>
          <w:tcPr>
            <w:tcW w:w="2340" w:type="dxa"/>
            <w:shd w:val="clear" w:color="auto" w:fill="FFFFFF" w:themeFill="background1"/>
            <w:tcMar>
              <w:top w:w="60" w:type="dxa"/>
              <w:left w:w="120" w:type="dxa"/>
              <w:bottom w:w="60" w:type="dxa"/>
              <w:right w:w="120" w:type="dxa"/>
            </w:tcMar>
          </w:tcPr>
          <w:p w14:paraId="35DAD236"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Gene expression data</w:t>
            </w:r>
          </w:p>
        </w:tc>
        <w:tc>
          <w:tcPr>
            <w:tcW w:w="2340" w:type="dxa"/>
            <w:shd w:val="clear" w:color="auto" w:fill="FFFFFF" w:themeFill="background1"/>
            <w:tcMar>
              <w:top w:w="60" w:type="dxa"/>
              <w:left w:w="120" w:type="dxa"/>
              <w:bottom w:w="60" w:type="dxa"/>
              <w:right w:w="120" w:type="dxa"/>
            </w:tcMar>
          </w:tcPr>
          <w:p w14:paraId="26BF21AF"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~3.5 million samples</w:t>
            </w:r>
          </w:p>
        </w:tc>
        <w:tc>
          <w:tcPr>
            <w:tcW w:w="2340" w:type="dxa"/>
            <w:shd w:val="clear" w:color="auto" w:fill="FFFFFF" w:themeFill="background1"/>
            <w:tcMar>
              <w:top w:w="60" w:type="dxa"/>
              <w:left w:w="120" w:type="dxa"/>
              <w:bottom w:w="60" w:type="dxa"/>
              <w:right w:w="120" w:type="dxa"/>
            </w:tcMar>
          </w:tcPr>
          <w:p w14:paraId="0D7BF5AB"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Transcriptomics studies</w:t>
            </w:r>
          </w:p>
        </w:tc>
      </w:tr>
    </w:tbl>
    <w:p w14:paraId="0D400723" w14:textId="77777777" w:rsidR="001E6242" w:rsidRPr="00C96C5F" w:rsidRDefault="001E6242" w:rsidP="001E6242">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Key Tools and Access Methods</w:t>
      </w:r>
    </w:p>
    <w:p w14:paraId="6C5E8548"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BLAST: Basic Local Alignment Search Tool — sequence similarity searching across all NCBI databases</w:t>
      </w:r>
    </w:p>
    <w:p w14:paraId="012C0482"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Entrez: Unified search interface across all NCBI databases</w:t>
      </w:r>
    </w:p>
    <w:p w14:paraId="10B5B1B1"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E-utilities (</w:t>
      </w:r>
      <w:proofErr w:type="spellStart"/>
      <w:r w:rsidRPr="00C96C5F">
        <w:rPr>
          <w:rFonts w:ascii="Times New Roman" w:hAnsi="Times New Roman" w:cs="Times New Roman"/>
          <w:color w:val="000000" w:themeColor="text1"/>
          <w:sz w:val="24"/>
          <w:szCs w:val="24"/>
        </w:rPr>
        <w:t>Esearch</w:t>
      </w:r>
      <w:proofErr w:type="spellEnd"/>
      <w:r w:rsidRPr="00C96C5F">
        <w:rPr>
          <w:rFonts w:ascii="Times New Roman" w:hAnsi="Times New Roman" w:cs="Times New Roman"/>
          <w:color w:val="000000" w:themeColor="text1"/>
          <w:sz w:val="24"/>
          <w:szCs w:val="24"/>
        </w:rPr>
        <w:t xml:space="preserve">, </w:t>
      </w:r>
      <w:proofErr w:type="spellStart"/>
      <w:r w:rsidRPr="00C96C5F">
        <w:rPr>
          <w:rFonts w:ascii="Times New Roman" w:hAnsi="Times New Roman" w:cs="Times New Roman"/>
          <w:color w:val="000000" w:themeColor="text1"/>
          <w:sz w:val="24"/>
          <w:szCs w:val="24"/>
        </w:rPr>
        <w:t>Efetch</w:t>
      </w:r>
      <w:proofErr w:type="spellEnd"/>
      <w:r w:rsidRPr="00C96C5F">
        <w:rPr>
          <w:rFonts w:ascii="Times New Roman" w:hAnsi="Times New Roman" w:cs="Times New Roman"/>
          <w:color w:val="000000" w:themeColor="text1"/>
          <w:sz w:val="24"/>
          <w:szCs w:val="24"/>
        </w:rPr>
        <w:t>, Elink): RESTful API for programmatic data access</w:t>
      </w:r>
    </w:p>
    <w:p w14:paraId="256E8B33"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NCBI Datasets: Modern data download portal for genome/gene datasets</w:t>
      </w:r>
    </w:p>
    <w:p w14:paraId="1CDEF5D7"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Primer-BLAST: Design PCR primers with BLAST specificity checking</w:t>
      </w:r>
    </w:p>
    <w:p w14:paraId="3089EDD2" w14:textId="77777777" w:rsidR="001E6242" w:rsidRPr="00C96C5F" w:rsidRDefault="001E6242" w:rsidP="001E6242">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Data Curation Model</w:t>
      </w:r>
    </w:p>
    <w:p w14:paraId="36754FAB"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NCBI employs a mixed curation model. GenBank is primarily community-submitted with automated validation checks, whereas </w:t>
      </w:r>
      <w:proofErr w:type="spellStart"/>
      <w:r w:rsidRPr="00C96C5F">
        <w:rPr>
          <w:rFonts w:ascii="Times New Roman" w:hAnsi="Times New Roman" w:cs="Times New Roman"/>
          <w:color w:val="000000" w:themeColor="text1"/>
          <w:sz w:val="24"/>
          <w:szCs w:val="24"/>
        </w:rPr>
        <w:t>RefSeq</w:t>
      </w:r>
      <w:proofErr w:type="spellEnd"/>
      <w:r w:rsidRPr="00C96C5F">
        <w:rPr>
          <w:rFonts w:ascii="Times New Roman" w:hAnsi="Times New Roman" w:cs="Times New Roman"/>
          <w:color w:val="000000" w:themeColor="text1"/>
          <w:sz w:val="24"/>
          <w:szCs w:val="24"/>
        </w:rPr>
        <w:t xml:space="preserve"> sequences undergo manual expert curation by NCBI staff. The </w:t>
      </w:r>
      <w:proofErr w:type="spellStart"/>
      <w:r w:rsidRPr="00C96C5F">
        <w:rPr>
          <w:rFonts w:ascii="Times New Roman" w:hAnsi="Times New Roman" w:cs="Times New Roman"/>
          <w:color w:val="000000" w:themeColor="text1"/>
          <w:sz w:val="24"/>
          <w:szCs w:val="24"/>
        </w:rPr>
        <w:t>RefSeq</w:t>
      </w:r>
      <w:proofErr w:type="spellEnd"/>
      <w:r w:rsidRPr="00C96C5F">
        <w:rPr>
          <w:rFonts w:ascii="Times New Roman" w:hAnsi="Times New Roman" w:cs="Times New Roman"/>
          <w:color w:val="000000" w:themeColor="text1"/>
          <w:sz w:val="24"/>
          <w:szCs w:val="24"/>
        </w:rPr>
        <w:t xml:space="preserve"> standard (NM_, NP_, NR_ prefixes) represents the gold standard for reference sequences and is widely used in clinical genomics pipelines.</w:t>
      </w:r>
    </w:p>
    <w:p w14:paraId="4D7E220F" w14:textId="77777777" w:rsidR="001E6242" w:rsidRPr="00C96C5F" w:rsidRDefault="001E6242" w:rsidP="001E6242">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 xml:space="preserve">4.3  </w:t>
      </w:r>
      <w:proofErr w:type="spellStart"/>
      <w:r w:rsidRPr="00C96C5F">
        <w:rPr>
          <w:rFonts w:ascii="Times New Roman" w:hAnsi="Times New Roman" w:cs="Times New Roman"/>
          <w:b/>
          <w:bCs/>
          <w:color w:val="000000" w:themeColor="text1"/>
          <w:sz w:val="24"/>
          <w:szCs w:val="24"/>
        </w:rPr>
        <w:t>UniProt</w:t>
      </w:r>
      <w:proofErr w:type="spellEnd"/>
      <w:proofErr w:type="gramEnd"/>
      <w:r w:rsidRPr="00C96C5F">
        <w:rPr>
          <w:rFonts w:ascii="Times New Roman" w:hAnsi="Times New Roman" w:cs="Times New Roman"/>
          <w:b/>
          <w:bCs/>
          <w:color w:val="000000" w:themeColor="text1"/>
          <w:sz w:val="24"/>
          <w:szCs w:val="24"/>
        </w:rPr>
        <w:t xml:space="preserve"> – Universal Protein Resource</w:t>
      </w:r>
    </w:p>
    <w:p w14:paraId="7AED6DD1" w14:textId="77777777" w:rsidR="001E6242" w:rsidRPr="00C96C5F" w:rsidRDefault="001E6242" w:rsidP="001E6242">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Overview and Consortium</w:t>
      </w:r>
    </w:p>
    <w:p w14:paraId="019AD900"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t>UniProt</w:t>
      </w:r>
      <w:proofErr w:type="spellEnd"/>
      <w:r w:rsidRPr="00C96C5F">
        <w:rPr>
          <w:rFonts w:ascii="Times New Roman" w:hAnsi="Times New Roman" w:cs="Times New Roman"/>
          <w:color w:val="000000" w:themeColor="text1"/>
          <w:sz w:val="24"/>
          <w:szCs w:val="24"/>
        </w:rPr>
        <w:t xml:space="preserve"> was established in 2002 through a collaboration between the Swiss Institute of Bioinformatics (SIB), the European Bioinformatics Institute (EMBL-EBI), and the Protein Information Resource (PIR). It is the most comprehensive protein sequence and functional annotation resource available, combining two complementary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72"/>
        <w:gridCol w:w="1872"/>
        <w:gridCol w:w="1872"/>
        <w:gridCol w:w="1872"/>
        <w:gridCol w:w="1872"/>
      </w:tblGrid>
      <w:tr w:rsidR="001E6242" w:rsidRPr="00C96C5F" w14:paraId="0751B812" w14:textId="77777777" w:rsidTr="00472285">
        <w:tblPrEx>
          <w:tblCellMar>
            <w:top w:w="0" w:type="dxa"/>
            <w:bottom w:w="0" w:type="dxa"/>
          </w:tblCellMar>
        </w:tblPrEx>
        <w:tc>
          <w:tcPr>
            <w:tcW w:w="1872" w:type="dxa"/>
            <w:shd w:val="clear" w:color="auto" w:fill="FFFFFF" w:themeFill="background1"/>
            <w:tcMar>
              <w:top w:w="80" w:type="dxa"/>
              <w:left w:w="120" w:type="dxa"/>
              <w:bottom w:w="80" w:type="dxa"/>
              <w:right w:w="120" w:type="dxa"/>
            </w:tcMar>
          </w:tcPr>
          <w:p w14:paraId="2C838209"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Component</w:t>
            </w:r>
          </w:p>
        </w:tc>
        <w:tc>
          <w:tcPr>
            <w:tcW w:w="1872" w:type="dxa"/>
            <w:shd w:val="clear" w:color="auto" w:fill="FFFFFF" w:themeFill="background1"/>
            <w:tcMar>
              <w:top w:w="80" w:type="dxa"/>
              <w:left w:w="120" w:type="dxa"/>
              <w:bottom w:w="80" w:type="dxa"/>
              <w:right w:w="120" w:type="dxa"/>
            </w:tcMar>
          </w:tcPr>
          <w:p w14:paraId="4C204D1D"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Full Name</w:t>
            </w:r>
          </w:p>
        </w:tc>
        <w:tc>
          <w:tcPr>
            <w:tcW w:w="1872" w:type="dxa"/>
            <w:shd w:val="clear" w:color="auto" w:fill="FFFFFF" w:themeFill="background1"/>
            <w:tcMar>
              <w:top w:w="80" w:type="dxa"/>
              <w:left w:w="120" w:type="dxa"/>
              <w:bottom w:w="80" w:type="dxa"/>
              <w:right w:w="120" w:type="dxa"/>
            </w:tcMar>
          </w:tcPr>
          <w:p w14:paraId="0E3B3F9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Records</w:t>
            </w:r>
          </w:p>
        </w:tc>
        <w:tc>
          <w:tcPr>
            <w:tcW w:w="1872" w:type="dxa"/>
            <w:shd w:val="clear" w:color="auto" w:fill="FFFFFF" w:themeFill="background1"/>
            <w:tcMar>
              <w:top w:w="80" w:type="dxa"/>
              <w:left w:w="120" w:type="dxa"/>
              <w:bottom w:w="80" w:type="dxa"/>
              <w:right w:w="120" w:type="dxa"/>
            </w:tcMar>
          </w:tcPr>
          <w:p w14:paraId="120280BC"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Curation Type</w:t>
            </w:r>
          </w:p>
        </w:tc>
        <w:tc>
          <w:tcPr>
            <w:tcW w:w="1872" w:type="dxa"/>
            <w:shd w:val="clear" w:color="auto" w:fill="FFFFFF" w:themeFill="background1"/>
            <w:tcMar>
              <w:top w:w="80" w:type="dxa"/>
              <w:left w:w="120" w:type="dxa"/>
              <w:bottom w:w="80" w:type="dxa"/>
              <w:right w:w="120" w:type="dxa"/>
            </w:tcMar>
          </w:tcPr>
          <w:p w14:paraId="051164B9"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Characteristics</w:t>
            </w:r>
          </w:p>
        </w:tc>
      </w:tr>
      <w:tr w:rsidR="001E6242" w:rsidRPr="00C96C5F" w14:paraId="13F5B793" w14:textId="77777777" w:rsidTr="00472285">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650F3A1E"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Swiss-Prot</w:t>
            </w:r>
          </w:p>
        </w:tc>
        <w:tc>
          <w:tcPr>
            <w:tcW w:w="1872" w:type="dxa"/>
            <w:shd w:val="clear" w:color="auto" w:fill="FFFFFF" w:themeFill="background1"/>
            <w:tcMar>
              <w:top w:w="60" w:type="dxa"/>
              <w:left w:w="120" w:type="dxa"/>
              <w:bottom w:w="60" w:type="dxa"/>
              <w:right w:w="120" w:type="dxa"/>
            </w:tcMar>
          </w:tcPr>
          <w:p w14:paraId="143577DA"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Reviewed section</w:t>
            </w:r>
          </w:p>
        </w:tc>
        <w:tc>
          <w:tcPr>
            <w:tcW w:w="1872" w:type="dxa"/>
            <w:shd w:val="clear" w:color="auto" w:fill="FFFFFF" w:themeFill="background1"/>
            <w:tcMar>
              <w:top w:w="60" w:type="dxa"/>
              <w:left w:w="120" w:type="dxa"/>
              <w:bottom w:w="60" w:type="dxa"/>
              <w:right w:w="120" w:type="dxa"/>
            </w:tcMar>
          </w:tcPr>
          <w:p w14:paraId="6243AFB3"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~570,000 entries</w:t>
            </w:r>
          </w:p>
        </w:tc>
        <w:tc>
          <w:tcPr>
            <w:tcW w:w="1872" w:type="dxa"/>
            <w:shd w:val="clear" w:color="auto" w:fill="FFFFFF" w:themeFill="background1"/>
            <w:tcMar>
              <w:top w:w="60" w:type="dxa"/>
              <w:left w:w="120" w:type="dxa"/>
              <w:bottom w:w="60" w:type="dxa"/>
              <w:right w:w="120" w:type="dxa"/>
            </w:tcMar>
          </w:tcPr>
          <w:p w14:paraId="59B8472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Manual expert curation</w:t>
            </w:r>
          </w:p>
        </w:tc>
        <w:tc>
          <w:tcPr>
            <w:tcW w:w="1872" w:type="dxa"/>
            <w:shd w:val="clear" w:color="auto" w:fill="FFFFFF" w:themeFill="background1"/>
            <w:tcMar>
              <w:top w:w="60" w:type="dxa"/>
              <w:left w:w="120" w:type="dxa"/>
              <w:bottom w:w="60" w:type="dxa"/>
              <w:right w:w="120" w:type="dxa"/>
            </w:tcMar>
          </w:tcPr>
          <w:p w14:paraId="0D8DCCC7"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High-quality, experimentally validated; each entry reviewed by domain experts</w:t>
            </w:r>
          </w:p>
        </w:tc>
      </w:tr>
      <w:tr w:rsidR="001E6242" w:rsidRPr="00C96C5F" w14:paraId="2235112D" w14:textId="77777777" w:rsidTr="00472285">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54904E9A"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t>TrEMBL</w:t>
            </w:r>
            <w:proofErr w:type="spellEnd"/>
          </w:p>
        </w:tc>
        <w:tc>
          <w:tcPr>
            <w:tcW w:w="1872" w:type="dxa"/>
            <w:shd w:val="clear" w:color="auto" w:fill="FFFFFF" w:themeFill="background1"/>
            <w:tcMar>
              <w:top w:w="60" w:type="dxa"/>
              <w:left w:w="120" w:type="dxa"/>
              <w:bottom w:w="60" w:type="dxa"/>
              <w:right w:w="120" w:type="dxa"/>
            </w:tcMar>
          </w:tcPr>
          <w:p w14:paraId="3F245FBC"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Unreviewed section</w:t>
            </w:r>
          </w:p>
        </w:tc>
        <w:tc>
          <w:tcPr>
            <w:tcW w:w="1872" w:type="dxa"/>
            <w:shd w:val="clear" w:color="auto" w:fill="FFFFFF" w:themeFill="background1"/>
            <w:tcMar>
              <w:top w:w="60" w:type="dxa"/>
              <w:left w:w="120" w:type="dxa"/>
              <w:bottom w:w="60" w:type="dxa"/>
              <w:right w:w="120" w:type="dxa"/>
            </w:tcMar>
          </w:tcPr>
          <w:p w14:paraId="71797773"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~240 million entries</w:t>
            </w:r>
          </w:p>
        </w:tc>
        <w:tc>
          <w:tcPr>
            <w:tcW w:w="1872" w:type="dxa"/>
            <w:shd w:val="clear" w:color="auto" w:fill="FFFFFF" w:themeFill="background1"/>
            <w:tcMar>
              <w:top w:w="60" w:type="dxa"/>
              <w:left w:w="120" w:type="dxa"/>
              <w:bottom w:w="60" w:type="dxa"/>
              <w:right w:w="120" w:type="dxa"/>
            </w:tcMar>
          </w:tcPr>
          <w:p w14:paraId="5BE873E8"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Automated annotation</w:t>
            </w:r>
          </w:p>
        </w:tc>
        <w:tc>
          <w:tcPr>
            <w:tcW w:w="1872" w:type="dxa"/>
            <w:shd w:val="clear" w:color="auto" w:fill="FFFFFF" w:themeFill="background1"/>
            <w:tcMar>
              <w:top w:w="60" w:type="dxa"/>
              <w:left w:w="120" w:type="dxa"/>
              <w:bottom w:w="60" w:type="dxa"/>
              <w:right w:w="120" w:type="dxa"/>
            </w:tcMar>
          </w:tcPr>
          <w:p w14:paraId="7FB3724E"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Computer-annotated; awaiting manual review; primarily from genome sequencing projects</w:t>
            </w:r>
          </w:p>
        </w:tc>
      </w:tr>
    </w:tbl>
    <w:p w14:paraId="68E0A21E" w14:textId="77777777" w:rsidR="001E6242" w:rsidRPr="00C96C5F" w:rsidRDefault="001E6242" w:rsidP="001E6242">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Annotation Depth in Swiss-Prot</w:t>
      </w:r>
    </w:p>
    <w:p w14:paraId="0CB850A3"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lastRenderedPageBreak/>
        <w:t>Each manually curated Swiss-Prot entry contains:</w:t>
      </w:r>
    </w:p>
    <w:p w14:paraId="15FA3ABC"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Protein function description with experimental evidence codes</w:t>
      </w:r>
    </w:p>
    <w:p w14:paraId="3BABF6A5"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Post-translational modifications (phosphorylation sites, glycosylation, disulfide bonds)</w:t>
      </w:r>
    </w:p>
    <w:p w14:paraId="4F21E232"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Subcellular localization with tissue-specificity data</w:t>
      </w:r>
    </w:p>
    <w:p w14:paraId="61EF723A"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Disease associations linked to OMIM and </w:t>
      </w:r>
      <w:proofErr w:type="spellStart"/>
      <w:r w:rsidRPr="00C96C5F">
        <w:rPr>
          <w:rFonts w:ascii="Times New Roman" w:hAnsi="Times New Roman" w:cs="Times New Roman"/>
          <w:color w:val="000000" w:themeColor="text1"/>
          <w:sz w:val="24"/>
          <w:szCs w:val="24"/>
        </w:rPr>
        <w:t>ClinVar</w:t>
      </w:r>
      <w:proofErr w:type="spellEnd"/>
    </w:p>
    <w:p w14:paraId="39FE01A6"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Protein-protein interactions cross-referenced to STRING and </w:t>
      </w:r>
      <w:proofErr w:type="spellStart"/>
      <w:r w:rsidRPr="00C96C5F">
        <w:rPr>
          <w:rFonts w:ascii="Times New Roman" w:hAnsi="Times New Roman" w:cs="Times New Roman"/>
          <w:color w:val="000000" w:themeColor="text1"/>
          <w:sz w:val="24"/>
          <w:szCs w:val="24"/>
        </w:rPr>
        <w:t>IntAct</w:t>
      </w:r>
      <w:proofErr w:type="spellEnd"/>
    </w:p>
    <w:p w14:paraId="60920A54"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Catalytic activity and cofactor requirements (enzyme entries)</w:t>
      </w:r>
    </w:p>
    <w:p w14:paraId="5DA32E3A"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Feature annotations mapped to specific sequence positions</w:t>
      </w:r>
    </w:p>
    <w:p w14:paraId="58314E9F"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Cross-references to 150+ other databases</w:t>
      </w:r>
    </w:p>
    <w:p w14:paraId="76A204A6" w14:textId="77777777" w:rsidR="001E6242" w:rsidRPr="00C96C5F" w:rsidRDefault="001E6242" w:rsidP="001E6242">
      <w:pPr>
        <w:spacing w:before="160" w:after="60" w:line="276" w:lineRule="auto"/>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b/>
          <w:bCs/>
          <w:color w:val="000000" w:themeColor="text1"/>
          <w:sz w:val="24"/>
          <w:szCs w:val="24"/>
        </w:rPr>
        <w:t>UniProt</w:t>
      </w:r>
      <w:proofErr w:type="spellEnd"/>
      <w:r w:rsidRPr="00C96C5F">
        <w:rPr>
          <w:rFonts w:ascii="Times New Roman" w:hAnsi="Times New Roman" w:cs="Times New Roman"/>
          <w:b/>
          <w:bCs/>
          <w:color w:val="000000" w:themeColor="text1"/>
          <w:sz w:val="24"/>
          <w:szCs w:val="24"/>
        </w:rPr>
        <w:t xml:space="preserve"> Tools</w:t>
      </w:r>
    </w:p>
    <w:p w14:paraId="40993ACF"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BLAST: Against </w:t>
      </w:r>
      <w:proofErr w:type="spellStart"/>
      <w:r w:rsidRPr="00C96C5F">
        <w:rPr>
          <w:rFonts w:ascii="Times New Roman" w:hAnsi="Times New Roman" w:cs="Times New Roman"/>
          <w:color w:val="000000" w:themeColor="text1"/>
          <w:sz w:val="24"/>
          <w:szCs w:val="24"/>
        </w:rPr>
        <w:t>UniProt</w:t>
      </w:r>
      <w:proofErr w:type="spellEnd"/>
      <w:r w:rsidRPr="00C96C5F">
        <w:rPr>
          <w:rFonts w:ascii="Times New Roman" w:hAnsi="Times New Roman" w:cs="Times New Roman"/>
          <w:color w:val="000000" w:themeColor="text1"/>
          <w:sz w:val="24"/>
          <w:szCs w:val="24"/>
        </w:rPr>
        <w:t xml:space="preserve"> databases with Swiss-Prot/</w:t>
      </w:r>
      <w:proofErr w:type="spellStart"/>
      <w:r w:rsidRPr="00C96C5F">
        <w:rPr>
          <w:rFonts w:ascii="Times New Roman" w:hAnsi="Times New Roman" w:cs="Times New Roman"/>
          <w:color w:val="000000" w:themeColor="text1"/>
          <w:sz w:val="24"/>
          <w:szCs w:val="24"/>
        </w:rPr>
        <w:t>TrEMBL</w:t>
      </w:r>
      <w:proofErr w:type="spellEnd"/>
      <w:r w:rsidRPr="00C96C5F">
        <w:rPr>
          <w:rFonts w:ascii="Times New Roman" w:hAnsi="Times New Roman" w:cs="Times New Roman"/>
          <w:color w:val="000000" w:themeColor="text1"/>
          <w:sz w:val="24"/>
          <w:szCs w:val="24"/>
        </w:rPr>
        <w:t xml:space="preserve"> filtering</w:t>
      </w:r>
    </w:p>
    <w:p w14:paraId="5171DD42"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Align: Pairwise sequence alignment using Needleman-Wunsch or Smith-Waterman</w:t>
      </w:r>
    </w:p>
    <w:p w14:paraId="18420073"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Peptide Search: Map peptides from mass spectrometry data to protein sequences</w:t>
      </w:r>
    </w:p>
    <w:p w14:paraId="3717FC97"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ID Mapping: Convert between identifiers across 100+ databases</w:t>
      </w:r>
    </w:p>
    <w:p w14:paraId="2E420B44"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t>UniProt</w:t>
      </w:r>
      <w:proofErr w:type="spellEnd"/>
      <w:r w:rsidRPr="00C96C5F">
        <w:rPr>
          <w:rFonts w:ascii="Times New Roman" w:hAnsi="Times New Roman" w:cs="Times New Roman"/>
          <w:color w:val="000000" w:themeColor="text1"/>
          <w:sz w:val="24"/>
          <w:szCs w:val="24"/>
        </w:rPr>
        <w:t xml:space="preserve"> API (REST): Programmatic access to all data in JSON/TSV/XML formats</w:t>
      </w:r>
    </w:p>
    <w:p w14:paraId="36B70473"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t>UniRef</w:t>
      </w:r>
      <w:proofErr w:type="spellEnd"/>
      <w:r w:rsidRPr="00C96C5F">
        <w:rPr>
          <w:rFonts w:ascii="Times New Roman" w:hAnsi="Times New Roman" w:cs="Times New Roman"/>
          <w:color w:val="000000" w:themeColor="text1"/>
          <w:sz w:val="24"/>
          <w:szCs w:val="24"/>
        </w:rPr>
        <w:t>: Clustered sequence databases (UniRef100, UniRef90, UniRef50) for reducing redundancy</w:t>
      </w:r>
    </w:p>
    <w:p w14:paraId="263273F7" w14:textId="77777777" w:rsidR="001E6242" w:rsidRPr="00C96C5F" w:rsidRDefault="001E6242" w:rsidP="001E6242">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4.4  PDB</w:t>
      </w:r>
      <w:proofErr w:type="gramEnd"/>
      <w:r w:rsidRPr="00C96C5F">
        <w:rPr>
          <w:rFonts w:ascii="Times New Roman" w:hAnsi="Times New Roman" w:cs="Times New Roman"/>
          <w:b/>
          <w:bCs/>
          <w:color w:val="000000" w:themeColor="text1"/>
          <w:sz w:val="24"/>
          <w:szCs w:val="24"/>
        </w:rPr>
        <w:t xml:space="preserve"> – Protein Data Bank</w:t>
      </w:r>
    </w:p>
    <w:p w14:paraId="78978971" w14:textId="77777777" w:rsidR="001E6242" w:rsidRPr="00C96C5F" w:rsidRDefault="001E6242" w:rsidP="001E6242">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Overview and History</w:t>
      </w:r>
    </w:p>
    <w:p w14:paraId="6880B586"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The Protein Data Bank was established in 1971 at Brookhaven National Laboratory—the world's first open-access digital data resource in biology. It is now managed by the Worldwide Protein Data Bank consortium (wwPDB), with regional partners RCSB PDB (USA), </w:t>
      </w:r>
      <w:proofErr w:type="spellStart"/>
      <w:r w:rsidRPr="00C96C5F">
        <w:rPr>
          <w:rFonts w:ascii="Times New Roman" w:hAnsi="Times New Roman" w:cs="Times New Roman"/>
          <w:color w:val="000000" w:themeColor="text1"/>
          <w:sz w:val="24"/>
          <w:szCs w:val="24"/>
        </w:rPr>
        <w:t>PDBe</w:t>
      </w:r>
      <w:proofErr w:type="spellEnd"/>
      <w:r w:rsidRPr="00C96C5F">
        <w:rPr>
          <w:rFonts w:ascii="Times New Roman" w:hAnsi="Times New Roman" w:cs="Times New Roman"/>
          <w:color w:val="000000" w:themeColor="text1"/>
          <w:sz w:val="24"/>
          <w:szCs w:val="24"/>
        </w:rPr>
        <w:t xml:space="preserve"> (Europe), and </w:t>
      </w:r>
      <w:proofErr w:type="spellStart"/>
      <w:r w:rsidRPr="00C96C5F">
        <w:rPr>
          <w:rFonts w:ascii="Times New Roman" w:hAnsi="Times New Roman" w:cs="Times New Roman"/>
          <w:color w:val="000000" w:themeColor="text1"/>
          <w:sz w:val="24"/>
          <w:szCs w:val="24"/>
        </w:rPr>
        <w:t>PDBj</w:t>
      </w:r>
      <w:proofErr w:type="spellEnd"/>
      <w:r w:rsidRPr="00C96C5F">
        <w:rPr>
          <w:rFonts w:ascii="Times New Roman" w:hAnsi="Times New Roman" w:cs="Times New Roman"/>
          <w:color w:val="000000" w:themeColor="text1"/>
          <w:sz w:val="24"/>
          <w:szCs w:val="24"/>
        </w:rPr>
        <w:t xml:space="preserve"> (Japan). As of 2024, the PDB contains over 215,000 experimentally determined 3D structures.</w:t>
      </w:r>
    </w:p>
    <w:p w14:paraId="2CC0D117" w14:textId="77777777" w:rsidR="001E6242" w:rsidRPr="00C96C5F" w:rsidRDefault="001E6242" w:rsidP="001E6242">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Structure Determination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72"/>
        <w:gridCol w:w="1872"/>
        <w:gridCol w:w="1872"/>
        <w:gridCol w:w="1872"/>
        <w:gridCol w:w="1872"/>
      </w:tblGrid>
      <w:tr w:rsidR="001E6242" w:rsidRPr="00C96C5F" w14:paraId="2CF5D1B6" w14:textId="77777777" w:rsidTr="00472285">
        <w:tblPrEx>
          <w:tblCellMar>
            <w:top w:w="0" w:type="dxa"/>
            <w:bottom w:w="0" w:type="dxa"/>
          </w:tblCellMar>
        </w:tblPrEx>
        <w:tc>
          <w:tcPr>
            <w:tcW w:w="1872" w:type="dxa"/>
            <w:shd w:val="clear" w:color="auto" w:fill="FFFFFF" w:themeFill="background1"/>
            <w:tcMar>
              <w:top w:w="80" w:type="dxa"/>
              <w:left w:w="120" w:type="dxa"/>
              <w:bottom w:w="80" w:type="dxa"/>
              <w:right w:w="120" w:type="dxa"/>
            </w:tcMar>
          </w:tcPr>
          <w:p w14:paraId="7C22190C"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Method</w:t>
            </w:r>
          </w:p>
        </w:tc>
        <w:tc>
          <w:tcPr>
            <w:tcW w:w="1872" w:type="dxa"/>
            <w:shd w:val="clear" w:color="auto" w:fill="FFFFFF" w:themeFill="background1"/>
            <w:tcMar>
              <w:top w:w="80" w:type="dxa"/>
              <w:left w:w="120" w:type="dxa"/>
              <w:bottom w:w="80" w:type="dxa"/>
              <w:right w:w="120" w:type="dxa"/>
            </w:tcMar>
          </w:tcPr>
          <w:p w14:paraId="4327DC51"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Proportion of PDB</w:t>
            </w:r>
          </w:p>
        </w:tc>
        <w:tc>
          <w:tcPr>
            <w:tcW w:w="1872" w:type="dxa"/>
            <w:shd w:val="clear" w:color="auto" w:fill="FFFFFF" w:themeFill="background1"/>
            <w:tcMar>
              <w:top w:w="80" w:type="dxa"/>
              <w:left w:w="120" w:type="dxa"/>
              <w:bottom w:w="80" w:type="dxa"/>
              <w:right w:w="120" w:type="dxa"/>
            </w:tcMar>
          </w:tcPr>
          <w:p w14:paraId="6B3BEC1C"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Resolution Range</w:t>
            </w:r>
          </w:p>
        </w:tc>
        <w:tc>
          <w:tcPr>
            <w:tcW w:w="1872" w:type="dxa"/>
            <w:shd w:val="clear" w:color="auto" w:fill="FFFFFF" w:themeFill="background1"/>
            <w:tcMar>
              <w:top w:w="80" w:type="dxa"/>
              <w:left w:w="120" w:type="dxa"/>
              <w:bottom w:w="80" w:type="dxa"/>
              <w:right w:w="120" w:type="dxa"/>
            </w:tcMar>
          </w:tcPr>
          <w:p w14:paraId="74DDE275"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Key Advantage</w:t>
            </w:r>
          </w:p>
        </w:tc>
        <w:tc>
          <w:tcPr>
            <w:tcW w:w="1872" w:type="dxa"/>
            <w:shd w:val="clear" w:color="auto" w:fill="FFFFFF" w:themeFill="background1"/>
            <w:tcMar>
              <w:top w:w="80" w:type="dxa"/>
              <w:left w:w="120" w:type="dxa"/>
              <w:bottom w:w="80" w:type="dxa"/>
              <w:right w:w="120" w:type="dxa"/>
            </w:tcMar>
          </w:tcPr>
          <w:p w14:paraId="7F459F1B"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Limitation</w:t>
            </w:r>
          </w:p>
        </w:tc>
      </w:tr>
      <w:tr w:rsidR="001E6242" w:rsidRPr="00C96C5F" w14:paraId="567F9869" w14:textId="77777777" w:rsidTr="00472285">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6D7AF32E"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X-ray Crystallography</w:t>
            </w:r>
          </w:p>
        </w:tc>
        <w:tc>
          <w:tcPr>
            <w:tcW w:w="1872" w:type="dxa"/>
            <w:shd w:val="clear" w:color="auto" w:fill="FFFFFF" w:themeFill="background1"/>
            <w:tcMar>
              <w:top w:w="60" w:type="dxa"/>
              <w:left w:w="120" w:type="dxa"/>
              <w:bottom w:w="60" w:type="dxa"/>
              <w:right w:w="120" w:type="dxa"/>
            </w:tcMar>
          </w:tcPr>
          <w:p w14:paraId="20D0112B"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~85%</w:t>
            </w:r>
          </w:p>
        </w:tc>
        <w:tc>
          <w:tcPr>
            <w:tcW w:w="1872" w:type="dxa"/>
            <w:shd w:val="clear" w:color="auto" w:fill="FFFFFF" w:themeFill="background1"/>
            <w:tcMar>
              <w:top w:w="60" w:type="dxa"/>
              <w:left w:w="120" w:type="dxa"/>
              <w:bottom w:w="60" w:type="dxa"/>
              <w:right w:w="120" w:type="dxa"/>
            </w:tcMar>
          </w:tcPr>
          <w:p w14:paraId="692F4FFF"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1–3.5 Å</w:t>
            </w:r>
          </w:p>
        </w:tc>
        <w:tc>
          <w:tcPr>
            <w:tcW w:w="1872" w:type="dxa"/>
            <w:shd w:val="clear" w:color="auto" w:fill="FFFFFF" w:themeFill="background1"/>
            <w:tcMar>
              <w:top w:w="60" w:type="dxa"/>
              <w:left w:w="120" w:type="dxa"/>
              <w:bottom w:w="60" w:type="dxa"/>
              <w:right w:w="120" w:type="dxa"/>
            </w:tcMar>
          </w:tcPr>
          <w:p w14:paraId="571CDE60"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Atomic-level detail; mature technology</w:t>
            </w:r>
          </w:p>
        </w:tc>
        <w:tc>
          <w:tcPr>
            <w:tcW w:w="1872" w:type="dxa"/>
            <w:shd w:val="clear" w:color="auto" w:fill="FFFFFF" w:themeFill="background1"/>
            <w:tcMar>
              <w:top w:w="60" w:type="dxa"/>
              <w:left w:w="120" w:type="dxa"/>
              <w:bottom w:w="60" w:type="dxa"/>
              <w:right w:w="120" w:type="dxa"/>
            </w:tcMar>
          </w:tcPr>
          <w:p w14:paraId="098BE291"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Requires crystal formation; static snapshots</w:t>
            </w:r>
          </w:p>
        </w:tc>
      </w:tr>
      <w:tr w:rsidR="001E6242" w:rsidRPr="00C96C5F" w14:paraId="68599197" w14:textId="77777777" w:rsidTr="00472285">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7806D5C6"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Cryo-Electron Microscopy (cryo-EM)</w:t>
            </w:r>
          </w:p>
        </w:tc>
        <w:tc>
          <w:tcPr>
            <w:tcW w:w="1872" w:type="dxa"/>
            <w:shd w:val="clear" w:color="auto" w:fill="FFFFFF" w:themeFill="background1"/>
            <w:tcMar>
              <w:top w:w="60" w:type="dxa"/>
              <w:left w:w="120" w:type="dxa"/>
              <w:bottom w:w="60" w:type="dxa"/>
              <w:right w:w="120" w:type="dxa"/>
            </w:tcMar>
          </w:tcPr>
          <w:p w14:paraId="394400C5"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~12%</w:t>
            </w:r>
          </w:p>
        </w:tc>
        <w:tc>
          <w:tcPr>
            <w:tcW w:w="1872" w:type="dxa"/>
            <w:shd w:val="clear" w:color="auto" w:fill="FFFFFF" w:themeFill="background1"/>
            <w:tcMar>
              <w:top w:w="60" w:type="dxa"/>
              <w:left w:w="120" w:type="dxa"/>
              <w:bottom w:w="60" w:type="dxa"/>
              <w:right w:w="120" w:type="dxa"/>
            </w:tcMar>
          </w:tcPr>
          <w:p w14:paraId="00DE5884"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2–4 Å</w:t>
            </w:r>
          </w:p>
        </w:tc>
        <w:tc>
          <w:tcPr>
            <w:tcW w:w="1872" w:type="dxa"/>
            <w:shd w:val="clear" w:color="auto" w:fill="FFFFFF" w:themeFill="background1"/>
            <w:tcMar>
              <w:top w:w="60" w:type="dxa"/>
              <w:left w:w="120" w:type="dxa"/>
              <w:bottom w:w="60" w:type="dxa"/>
              <w:right w:w="120" w:type="dxa"/>
            </w:tcMar>
          </w:tcPr>
          <w:p w14:paraId="6CF67659"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Large complexes; near-native conditions</w:t>
            </w:r>
          </w:p>
        </w:tc>
        <w:tc>
          <w:tcPr>
            <w:tcW w:w="1872" w:type="dxa"/>
            <w:shd w:val="clear" w:color="auto" w:fill="FFFFFF" w:themeFill="background1"/>
            <w:tcMar>
              <w:top w:w="60" w:type="dxa"/>
              <w:left w:w="120" w:type="dxa"/>
              <w:bottom w:w="60" w:type="dxa"/>
              <w:right w:w="120" w:type="dxa"/>
            </w:tcMar>
          </w:tcPr>
          <w:p w14:paraId="46272F97"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Lower resolution for small proteins</w:t>
            </w:r>
          </w:p>
        </w:tc>
      </w:tr>
      <w:tr w:rsidR="001E6242" w:rsidRPr="00C96C5F" w14:paraId="156386D0" w14:textId="77777777" w:rsidTr="00472285">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4F33309C"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NMR Spectroscopy</w:t>
            </w:r>
          </w:p>
        </w:tc>
        <w:tc>
          <w:tcPr>
            <w:tcW w:w="1872" w:type="dxa"/>
            <w:shd w:val="clear" w:color="auto" w:fill="FFFFFF" w:themeFill="background1"/>
            <w:tcMar>
              <w:top w:w="60" w:type="dxa"/>
              <w:left w:w="120" w:type="dxa"/>
              <w:bottom w:w="60" w:type="dxa"/>
              <w:right w:w="120" w:type="dxa"/>
            </w:tcMar>
          </w:tcPr>
          <w:p w14:paraId="79DCB9F1"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~3%</w:t>
            </w:r>
          </w:p>
        </w:tc>
        <w:tc>
          <w:tcPr>
            <w:tcW w:w="1872" w:type="dxa"/>
            <w:shd w:val="clear" w:color="auto" w:fill="FFFFFF" w:themeFill="background1"/>
            <w:tcMar>
              <w:top w:w="60" w:type="dxa"/>
              <w:left w:w="120" w:type="dxa"/>
              <w:bottom w:w="60" w:type="dxa"/>
              <w:right w:w="120" w:type="dxa"/>
            </w:tcMar>
          </w:tcPr>
          <w:p w14:paraId="23D65A9F"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N/A (solution)</w:t>
            </w:r>
          </w:p>
        </w:tc>
        <w:tc>
          <w:tcPr>
            <w:tcW w:w="1872" w:type="dxa"/>
            <w:shd w:val="clear" w:color="auto" w:fill="FFFFFF" w:themeFill="background1"/>
            <w:tcMar>
              <w:top w:w="60" w:type="dxa"/>
              <w:left w:w="120" w:type="dxa"/>
              <w:bottom w:w="60" w:type="dxa"/>
              <w:right w:w="120" w:type="dxa"/>
            </w:tcMar>
          </w:tcPr>
          <w:p w14:paraId="715F5A34"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Dynamics and flexibility; solution state</w:t>
            </w:r>
          </w:p>
        </w:tc>
        <w:tc>
          <w:tcPr>
            <w:tcW w:w="1872" w:type="dxa"/>
            <w:shd w:val="clear" w:color="auto" w:fill="FFFFFF" w:themeFill="background1"/>
            <w:tcMar>
              <w:top w:w="60" w:type="dxa"/>
              <w:left w:w="120" w:type="dxa"/>
              <w:bottom w:w="60" w:type="dxa"/>
              <w:right w:w="120" w:type="dxa"/>
            </w:tcMar>
          </w:tcPr>
          <w:p w14:paraId="721471ED"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Limited to proteins &lt; ~50 </w:t>
            </w:r>
            <w:proofErr w:type="spellStart"/>
            <w:r w:rsidRPr="00C96C5F">
              <w:rPr>
                <w:rFonts w:ascii="Times New Roman" w:hAnsi="Times New Roman" w:cs="Times New Roman"/>
                <w:color w:val="000000" w:themeColor="text1"/>
                <w:sz w:val="24"/>
                <w:szCs w:val="24"/>
              </w:rPr>
              <w:t>kDa</w:t>
            </w:r>
            <w:proofErr w:type="spellEnd"/>
          </w:p>
        </w:tc>
      </w:tr>
      <w:tr w:rsidR="001E6242" w:rsidRPr="00C96C5F" w14:paraId="7AA8F60B" w14:textId="77777777" w:rsidTr="00472285">
        <w:tblPrEx>
          <w:tblCellMar>
            <w:top w:w="0" w:type="dxa"/>
            <w:bottom w:w="0" w:type="dxa"/>
          </w:tblCellMar>
        </w:tblPrEx>
        <w:tc>
          <w:tcPr>
            <w:tcW w:w="1872" w:type="dxa"/>
            <w:shd w:val="clear" w:color="auto" w:fill="FFFFFF" w:themeFill="background1"/>
            <w:tcMar>
              <w:top w:w="60" w:type="dxa"/>
              <w:left w:w="120" w:type="dxa"/>
              <w:bottom w:w="60" w:type="dxa"/>
              <w:right w:w="120" w:type="dxa"/>
            </w:tcMar>
          </w:tcPr>
          <w:p w14:paraId="26379AD4"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lastRenderedPageBreak/>
              <w:t>Electron Crystallography</w:t>
            </w:r>
          </w:p>
        </w:tc>
        <w:tc>
          <w:tcPr>
            <w:tcW w:w="1872" w:type="dxa"/>
            <w:shd w:val="clear" w:color="auto" w:fill="FFFFFF" w:themeFill="background1"/>
            <w:tcMar>
              <w:top w:w="60" w:type="dxa"/>
              <w:left w:w="120" w:type="dxa"/>
              <w:bottom w:w="60" w:type="dxa"/>
              <w:right w:w="120" w:type="dxa"/>
            </w:tcMar>
          </w:tcPr>
          <w:p w14:paraId="3E3B728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&lt;1%</w:t>
            </w:r>
          </w:p>
        </w:tc>
        <w:tc>
          <w:tcPr>
            <w:tcW w:w="1872" w:type="dxa"/>
            <w:shd w:val="clear" w:color="auto" w:fill="FFFFFF" w:themeFill="background1"/>
            <w:tcMar>
              <w:top w:w="60" w:type="dxa"/>
              <w:left w:w="120" w:type="dxa"/>
              <w:bottom w:w="60" w:type="dxa"/>
              <w:right w:w="120" w:type="dxa"/>
            </w:tcMar>
          </w:tcPr>
          <w:p w14:paraId="09A4C79C"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2–4 Å</w:t>
            </w:r>
          </w:p>
        </w:tc>
        <w:tc>
          <w:tcPr>
            <w:tcW w:w="1872" w:type="dxa"/>
            <w:shd w:val="clear" w:color="auto" w:fill="FFFFFF" w:themeFill="background1"/>
            <w:tcMar>
              <w:top w:w="60" w:type="dxa"/>
              <w:left w:w="120" w:type="dxa"/>
              <w:bottom w:w="60" w:type="dxa"/>
              <w:right w:w="120" w:type="dxa"/>
            </w:tcMar>
          </w:tcPr>
          <w:p w14:paraId="118A721C"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Membrane proteins in native lipid bilayer</w:t>
            </w:r>
          </w:p>
        </w:tc>
        <w:tc>
          <w:tcPr>
            <w:tcW w:w="1872" w:type="dxa"/>
            <w:shd w:val="clear" w:color="auto" w:fill="FFFFFF" w:themeFill="background1"/>
            <w:tcMar>
              <w:top w:w="60" w:type="dxa"/>
              <w:left w:w="120" w:type="dxa"/>
              <w:bottom w:w="60" w:type="dxa"/>
              <w:right w:w="120" w:type="dxa"/>
            </w:tcMar>
          </w:tcPr>
          <w:p w14:paraId="074845C3"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Very technically demanding</w:t>
            </w:r>
          </w:p>
        </w:tc>
      </w:tr>
    </w:tbl>
    <w:p w14:paraId="3EF40AA5" w14:textId="77777777" w:rsidR="001E6242" w:rsidRPr="00C96C5F" w:rsidRDefault="001E6242" w:rsidP="001E6242">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Data Format and File Structure</w:t>
      </w:r>
    </w:p>
    <w:p w14:paraId="33491F27"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PDB entries are stored in </w:t>
      </w:r>
      <w:proofErr w:type="spellStart"/>
      <w:r w:rsidRPr="00C96C5F">
        <w:rPr>
          <w:rFonts w:ascii="Times New Roman" w:hAnsi="Times New Roman" w:cs="Times New Roman"/>
          <w:color w:val="000000" w:themeColor="text1"/>
          <w:sz w:val="24"/>
          <w:szCs w:val="24"/>
        </w:rPr>
        <w:t>mmCIF</w:t>
      </w:r>
      <w:proofErr w:type="spellEnd"/>
      <w:r w:rsidRPr="00C96C5F">
        <w:rPr>
          <w:rFonts w:ascii="Times New Roman" w:hAnsi="Times New Roman" w:cs="Times New Roman"/>
          <w:color w:val="000000" w:themeColor="text1"/>
          <w:sz w:val="24"/>
          <w:szCs w:val="24"/>
        </w:rPr>
        <w:t xml:space="preserve"> (macromolecular Crystallographic Information File) format, with legacy PDB flat-file format also available. Each entry contains:</w:t>
      </w:r>
    </w:p>
    <w:p w14:paraId="173CF263"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3D atomic coordinates (x, y, z) for all non-hydrogen atoms</w:t>
      </w:r>
    </w:p>
    <w:p w14:paraId="182B83ED"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Crystallographic metadata (space group, unit cell parameters, resolution, R-factors)</w:t>
      </w:r>
    </w:p>
    <w:p w14:paraId="5870EB45"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Secondary structure assignments (HELIX, SHEET records)</w:t>
      </w:r>
    </w:p>
    <w:p w14:paraId="7EFE9D8A"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Ligand and cofactor coordinates with SMILES cross-references</w:t>
      </w:r>
    </w:p>
    <w:p w14:paraId="08EEB16B"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Biological assembly information (quaternary structure)</w:t>
      </w:r>
    </w:p>
    <w:p w14:paraId="48191A21" w14:textId="77777777" w:rsidR="001E6242" w:rsidRPr="00C96C5F" w:rsidRDefault="001E6242" w:rsidP="001E6242">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PDB Tools and Resources</w:t>
      </w:r>
    </w:p>
    <w:p w14:paraId="060C500A"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RCSB PDB Search: Advanced query system supporting sequence, structure, and metadata searches</w:t>
      </w:r>
    </w:p>
    <w:p w14:paraId="21674043"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Mol* (</w:t>
      </w:r>
      <w:proofErr w:type="spellStart"/>
      <w:r w:rsidRPr="00C96C5F">
        <w:rPr>
          <w:rFonts w:ascii="Times New Roman" w:hAnsi="Times New Roman" w:cs="Times New Roman"/>
          <w:color w:val="000000" w:themeColor="text1"/>
          <w:sz w:val="24"/>
          <w:szCs w:val="24"/>
        </w:rPr>
        <w:t>Molstar</w:t>
      </w:r>
      <w:proofErr w:type="spellEnd"/>
      <w:r w:rsidRPr="00C96C5F">
        <w:rPr>
          <w:rFonts w:ascii="Times New Roman" w:hAnsi="Times New Roman" w:cs="Times New Roman"/>
          <w:color w:val="000000" w:themeColor="text1"/>
          <w:sz w:val="24"/>
          <w:szCs w:val="24"/>
        </w:rPr>
        <w:t>): Web-based 3D molecular viewer — successor to NGL viewer</w:t>
      </w:r>
    </w:p>
    <w:p w14:paraId="11191FC3"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PDB-101: Educational resources and 'Molecule of the Month' series</w:t>
      </w:r>
    </w:p>
    <w:p w14:paraId="0BE43204"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VAST+: Structure alignment and comparison tool</w:t>
      </w:r>
    </w:p>
    <w:p w14:paraId="4C5F8371"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PDB REDO: Re-refined and updated structure depositions with improved quality</w:t>
      </w:r>
    </w:p>
    <w:p w14:paraId="0742648A" w14:textId="77777777" w:rsidR="001E6242" w:rsidRPr="00C96C5F" w:rsidRDefault="001E6242" w:rsidP="001E6242">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4.5  Comparative</w:t>
      </w:r>
      <w:proofErr w:type="gramEnd"/>
      <w:r w:rsidRPr="00C96C5F">
        <w:rPr>
          <w:rFonts w:ascii="Times New Roman" w:hAnsi="Times New Roman" w:cs="Times New Roman"/>
          <w:b/>
          <w:bCs/>
          <w:color w:val="000000" w:themeColor="text1"/>
          <w:sz w:val="24"/>
          <w:szCs w:val="24"/>
        </w:rPr>
        <w:t xml:space="preserve"> Analysis</w:t>
      </w:r>
    </w:p>
    <w:p w14:paraId="1917B77C" w14:textId="77777777" w:rsidR="001E6242" w:rsidRPr="00C96C5F" w:rsidRDefault="001E6242" w:rsidP="001E6242">
      <w:pPr>
        <w:spacing w:before="100" w:after="100" w:line="276" w:lineRule="auto"/>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340"/>
        <w:gridCol w:w="2340"/>
        <w:gridCol w:w="2340"/>
        <w:gridCol w:w="2340"/>
      </w:tblGrid>
      <w:tr w:rsidR="001E6242" w:rsidRPr="00C96C5F" w14:paraId="1FB22F17" w14:textId="77777777" w:rsidTr="00472285">
        <w:tblPrEx>
          <w:tblCellMar>
            <w:top w:w="0" w:type="dxa"/>
            <w:bottom w:w="0" w:type="dxa"/>
          </w:tblCellMar>
        </w:tblPrEx>
        <w:tc>
          <w:tcPr>
            <w:tcW w:w="2340" w:type="dxa"/>
            <w:shd w:val="clear" w:color="auto" w:fill="FFFFFF" w:themeFill="background1"/>
            <w:tcMar>
              <w:top w:w="80" w:type="dxa"/>
              <w:left w:w="120" w:type="dxa"/>
              <w:bottom w:w="80" w:type="dxa"/>
              <w:right w:w="120" w:type="dxa"/>
            </w:tcMar>
          </w:tcPr>
          <w:p w14:paraId="3DE6D01C"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Feature</w:t>
            </w:r>
          </w:p>
        </w:tc>
        <w:tc>
          <w:tcPr>
            <w:tcW w:w="2340" w:type="dxa"/>
            <w:shd w:val="clear" w:color="auto" w:fill="FFFFFF" w:themeFill="background1"/>
            <w:tcMar>
              <w:top w:w="80" w:type="dxa"/>
              <w:left w:w="120" w:type="dxa"/>
              <w:bottom w:w="80" w:type="dxa"/>
              <w:right w:w="120" w:type="dxa"/>
            </w:tcMar>
          </w:tcPr>
          <w:p w14:paraId="5ACAA7A0"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NCBI</w:t>
            </w:r>
          </w:p>
        </w:tc>
        <w:tc>
          <w:tcPr>
            <w:tcW w:w="2340" w:type="dxa"/>
            <w:shd w:val="clear" w:color="auto" w:fill="FFFFFF" w:themeFill="background1"/>
            <w:tcMar>
              <w:top w:w="80" w:type="dxa"/>
              <w:left w:w="120" w:type="dxa"/>
              <w:bottom w:w="80" w:type="dxa"/>
              <w:right w:w="120" w:type="dxa"/>
            </w:tcMar>
          </w:tcPr>
          <w:p w14:paraId="2B8D7CB8"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b/>
                <w:bCs/>
                <w:color w:val="000000" w:themeColor="text1"/>
                <w:sz w:val="24"/>
                <w:szCs w:val="24"/>
              </w:rPr>
              <w:t>UniProt</w:t>
            </w:r>
            <w:proofErr w:type="spellEnd"/>
          </w:p>
        </w:tc>
        <w:tc>
          <w:tcPr>
            <w:tcW w:w="2340" w:type="dxa"/>
            <w:shd w:val="clear" w:color="auto" w:fill="FFFFFF" w:themeFill="background1"/>
            <w:tcMar>
              <w:top w:w="80" w:type="dxa"/>
              <w:left w:w="120" w:type="dxa"/>
              <w:bottom w:w="80" w:type="dxa"/>
              <w:right w:w="120" w:type="dxa"/>
            </w:tcMar>
          </w:tcPr>
          <w:p w14:paraId="6DF65F48"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PDB</w:t>
            </w:r>
          </w:p>
        </w:tc>
      </w:tr>
      <w:tr w:rsidR="001E6242" w:rsidRPr="00C96C5F" w14:paraId="5C046458"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11C5486B"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Primary Data Type</w:t>
            </w:r>
          </w:p>
        </w:tc>
        <w:tc>
          <w:tcPr>
            <w:tcW w:w="2340" w:type="dxa"/>
            <w:shd w:val="clear" w:color="auto" w:fill="FFFFFF" w:themeFill="background1"/>
            <w:tcMar>
              <w:top w:w="60" w:type="dxa"/>
              <w:left w:w="120" w:type="dxa"/>
              <w:bottom w:w="60" w:type="dxa"/>
              <w:right w:w="120" w:type="dxa"/>
            </w:tcMar>
          </w:tcPr>
          <w:p w14:paraId="5877FA26"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Nucleotide &amp; protein sequences, literature</w:t>
            </w:r>
          </w:p>
        </w:tc>
        <w:tc>
          <w:tcPr>
            <w:tcW w:w="2340" w:type="dxa"/>
            <w:shd w:val="clear" w:color="auto" w:fill="FFFFFF" w:themeFill="background1"/>
            <w:tcMar>
              <w:top w:w="60" w:type="dxa"/>
              <w:left w:w="120" w:type="dxa"/>
              <w:bottom w:w="60" w:type="dxa"/>
              <w:right w:w="120" w:type="dxa"/>
            </w:tcMar>
          </w:tcPr>
          <w:p w14:paraId="0DC47660"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Protein sequences &amp; function</w:t>
            </w:r>
          </w:p>
        </w:tc>
        <w:tc>
          <w:tcPr>
            <w:tcW w:w="2340" w:type="dxa"/>
            <w:shd w:val="clear" w:color="auto" w:fill="FFFFFF" w:themeFill="background1"/>
            <w:tcMar>
              <w:top w:w="60" w:type="dxa"/>
              <w:left w:w="120" w:type="dxa"/>
              <w:bottom w:w="60" w:type="dxa"/>
              <w:right w:w="120" w:type="dxa"/>
            </w:tcMar>
          </w:tcPr>
          <w:p w14:paraId="44FDE9F0"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3D macromolecular structures</w:t>
            </w:r>
          </w:p>
        </w:tc>
      </w:tr>
      <w:tr w:rsidR="001E6242" w:rsidRPr="00C96C5F" w14:paraId="15A6AF91"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2F8A5ABD"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Data Volume</w:t>
            </w:r>
          </w:p>
        </w:tc>
        <w:tc>
          <w:tcPr>
            <w:tcW w:w="2340" w:type="dxa"/>
            <w:shd w:val="clear" w:color="auto" w:fill="FFFFFF" w:themeFill="background1"/>
            <w:tcMar>
              <w:top w:w="60" w:type="dxa"/>
              <w:left w:w="120" w:type="dxa"/>
              <w:bottom w:w="60" w:type="dxa"/>
              <w:right w:w="120" w:type="dxa"/>
            </w:tcMar>
          </w:tcPr>
          <w:p w14:paraId="69C7C52C"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~900M protein + ~250B nucleotide bases</w:t>
            </w:r>
          </w:p>
        </w:tc>
        <w:tc>
          <w:tcPr>
            <w:tcW w:w="2340" w:type="dxa"/>
            <w:shd w:val="clear" w:color="auto" w:fill="FFFFFF" w:themeFill="background1"/>
            <w:tcMar>
              <w:top w:w="60" w:type="dxa"/>
              <w:left w:w="120" w:type="dxa"/>
              <w:bottom w:w="60" w:type="dxa"/>
              <w:right w:w="120" w:type="dxa"/>
            </w:tcMar>
          </w:tcPr>
          <w:p w14:paraId="2FE411E3"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~240M+ protein entries</w:t>
            </w:r>
          </w:p>
        </w:tc>
        <w:tc>
          <w:tcPr>
            <w:tcW w:w="2340" w:type="dxa"/>
            <w:shd w:val="clear" w:color="auto" w:fill="FFFFFF" w:themeFill="background1"/>
            <w:tcMar>
              <w:top w:w="60" w:type="dxa"/>
              <w:left w:w="120" w:type="dxa"/>
              <w:bottom w:w="60" w:type="dxa"/>
              <w:right w:w="120" w:type="dxa"/>
            </w:tcMar>
          </w:tcPr>
          <w:p w14:paraId="5B8EF054"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~215,000+ structures</w:t>
            </w:r>
          </w:p>
        </w:tc>
      </w:tr>
      <w:tr w:rsidR="001E6242" w:rsidRPr="00C96C5F" w14:paraId="48524B68"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36AA1A7A"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Curation Level</w:t>
            </w:r>
          </w:p>
        </w:tc>
        <w:tc>
          <w:tcPr>
            <w:tcW w:w="2340" w:type="dxa"/>
            <w:shd w:val="clear" w:color="auto" w:fill="FFFFFF" w:themeFill="background1"/>
            <w:tcMar>
              <w:top w:w="60" w:type="dxa"/>
              <w:left w:w="120" w:type="dxa"/>
              <w:bottom w:w="60" w:type="dxa"/>
              <w:right w:w="120" w:type="dxa"/>
            </w:tcMar>
          </w:tcPr>
          <w:p w14:paraId="36C69B21"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Mixed (automated + expert for </w:t>
            </w:r>
            <w:proofErr w:type="spellStart"/>
            <w:r w:rsidRPr="00C96C5F">
              <w:rPr>
                <w:rFonts w:ascii="Times New Roman" w:hAnsi="Times New Roman" w:cs="Times New Roman"/>
                <w:color w:val="000000" w:themeColor="text1"/>
                <w:sz w:val="24"/>
                <w:szCs w:val="24"/>
              </w:rPr>
              <w:t>RefSeq</w:t>
            </w:r>
            <w:proofErr w:type="spellEnd"/>
            <w:r w:rsidRPr="00C96C5F">
              <w:rPr>
                <w:rFonts w:ascii="Times New Roman" w:hAnsi="Times New Roman" w:cs="Times New Roman"/>
                <w:color w:val="000000" w:themeColor="text1"/>
                <w:sz w:val="24"/>
                <w:szCs w:val="24"/>
              </w:rPr>
              <w:t>)</w:t>
            </w:r>
          </w:p>
        </w:tc>
        <w:tc>
          <w:tcPr>
            <w:tcW w:w="2340" w:type="dxa"/>
            <w:shd w:val="clear" w:color="auto" w:fill="FFFFFF" w:themeFill="background1"/>
            <w:tcMar>
              <w:top w:w="60" w:type="dxa"/>
              <w:left w:w="120" w:type="dxa"/>
              <w:bottom w:w="60" w:type="dxa"/>
              <w:right w:w="120" w:type="dxa"/>
            </w:tcMar>
          </w:tcPr>
          <w:p w14:paraId="7C3A0E89"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Expert (Swiss-Prot) + automated (</w:t>
            </w:r>
            <w:proofErr w:type="spellStart"/>
            <w:r w:rsidRPr="00C96C5F">
              <w:rPr>
                <w:rFonts w:ascii="Times New Roman" w:hAnsi="Times New Roman" w:cs="Times New Roman"/>
                <w:color w:val="000000" w:themeColor="text1"/>
                <w:sz w:val="24"/>
                <w:szCs w:val="24"/>
              </w:rPr>
              <w:t>TrEMBL</w:t>
            </w:r>
            <w:proofErr w:type="spellEnd"/>
            <w:r w:rsidRPr="00C96C5F">
              <w:rPr>
                <w:rFonts w:ascii="Times New Roman" w:hAnsi="Times New Roman" w:cs="Times New Roman"/>
                <w:color w:val="000000" w:themeColor="text1"/>
                <w:sz w:val="24"/>
                <w:szCs w:val="24"/>
              </w:rPr>
              <w:t>)</w:t>
            </w:r>
          </w:p>
        </w:tc>
        <w:tc>
          <w:tcPr>
            <w:tcW w:w="2340" w:type="dxa"/>
            <w:shd w:val="clear" w:color="auto" w:fill="FFFFFF" w:themeFill="background1"/>
            <w:tcMar>
              <w:top w:w="60" w:type="dxa"/>
              <w:left w:w="120" w:type="dxa"/>
              <w:bottom w:w="60" w:type="dxa"/>
              <w:right w:w="120" w:type="dxa"/>
            </w:tcMar>
          </w:tcPr>
          <w:p w14:paraId="5A4C9DE5"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Semi-manual (depositor + wwPDB validation)</w:t>
            </w:r>
          </w:p>
        </w:tc>
      </w:tr>
      <w:tr w:rsidR="001E6242" w:rsidRPr="00C96C5F" w14:paraId="51BD8B38"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1823C03B"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Update Frequency</w:t>
            </w:r>
          </w:p>
        </w:tc>
        <w:tc>
          <w:tcPr>
            <w:tcW w:w="2340" w:type="dxa"/>
            <w:shd w:val="clear" w:color="auto" w:fill="FFFFFF" w:themeFill="background1"/>
            <w:tcMar>
              <w:top w:w="60" w:type="dxa"/>
              <w:left w:w="120" w:type="dxa"/>
              <w:bottom w:w="60" w:type="dxa"/>
              <w:right w:w="120" w:type="dxa"/>
            </w:tcMar>
          </w:tcPr>
          <w:p w14:paraId="2E925D0B"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Continuous real-time</w:t>
            </w:r>
          </w:p>
        </w:tc>
        <w:tc>
          <w:tcPr>
            <w:tcW w:w="2340" w:type="dxa"/>
            <w:shd w:val="clear" w:color="auto" w:fill="FFFFFF" w:themeFill="background1"/>
            <w:tcMar>
              <w:top w:w="60" w:type="dxa"/>
              <w:left w:w="120" w:type="dxa"/>
              <w:bottom w:w="60" w:type="dxa"/>
              <w:right w:w="120" w:type="dxa"/>
            </w:tcMar>
          </w:tcPr>
          <w:p w14:paraId="40083F05"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Weekly (Swiss-Prot quarterly)</w:t>
            </w:r>
          </w:p>
        </w:tc>
        <w:tc>
          <w:tcPr>
            <w:tcW w:w="2340" w:type="dxa"/>
            <w:shd w:val="clear" w:color="auto" w:fill="FFFFFF" w:themeFill="background1"/>
            <w:tcMar>
              <w:top w:w="60" w:type="dxa"/>
              <w:left w:w="120" w:type="dxa"/>
              <w:bottom w:w="60" w:type="dxa"/>
              <w:right w:w="120" w:type="dxa"/>
            </w:tcMar>
          </w:tcPr>
          <w:p w14:paraId="17667C5C"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Weekly</w:t>
            </w:r>
          </w:p>
        </w:tc>
      </w:tr>
      <w:tr w:rsidR="001E6242" w:rsidRPr="00C96C5F" w14:paraId="711593E7"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6F92CD37"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API Access</w:t>
            </w:r>
          </w:p>
        </w:tc>
        <w:tc>
          <w:tcPr>
            <w:tcW w:w="2340" w:type="dxa"/>
            <w:shd w:val="clear" w:color="auto" w:fill="FFFFFF" w:themeFill="background1"/>
            <w:tcMar>
              <w:top w:w="60" w:type="dxa"/>
              <w:left w:w="120" w:type="dxa"/>
              <w:bottom w:w="60" w:type="dxa"/>
              <w:right w:w="120" w:type="dxa"/>
            </w:tcMar>
          </w:tcPr>
          <w:p w14:paraId="6DD7AA11"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E-utilities, NCBI Datasets API</w:t>
            </w:r>
          </w:p>
        </w:tc>
        <w:tc>
          <w:tcPr>
            <w:tcW w:w="2340" w:type="dxa"/>
            <w:shd w:val="clear" w:color="auto" w:fill="FFFFFF" w:themeFill="background1"/>
            <w:tcMar>
              <w:top w:w="60" w:type="dxa"/>
              <w:left w:w="120" w:type="dxa"/>
              <w:bottom w:w="60" w:type="dxa"/>
              <w:right w:w="120" w:type="dxa"/>
            </w:tcMar>
          </w:tcPr>
          <w:p w14:paraId="05A44E6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t>UniProt</w:t>
            </w:r>
            <w:proofErr w:type="spellEnd"/>
            <w:r w:rsidRPr="00C96C5F">
              <w:rPr>
                <w:rFonts w:ascii="Times New Roman" w:hAnsi="Times New Roman" w:cs="Times New Roman"/>
                <w:color w:val="000000" w:themeColor="text1"/>
                <w:sz w:val="24"/>
                <w:szCs w:val="24"/>
              </w:rPr>
              <w:t xml:space="preserve"> REST API</w:t>
            </w:r>
          </w:p>
        </w:tc>
        <w:tc>
          <w:tcPr>
            <w:tcW w:w="2340" w:type="dxa"/>
            <w:shd w:val="clear" w:color="auto" w:fill="FFFFFF" w:themeFill="background1"/>
            <w:tcMar>
              <w:top w:w="60" w:type="dxa"/>
              <w:left w:w="120" w:type="dxa"/>
              <w:bottom w:w="60" w:type="dxa"/>
              <w:right w:w="120" w:type="dxa"/>
            </w:tcMar>
          </w:tcPr>
          <w:p w14:paraId="0B5FB0FD"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RCSB PDB Data API</w:t>
            </w:r>
          </w:p>
        </w:tc>
      </w:tr>
      <w:tr w:rsidR="001E6242" w:rsidRPr="00C96C5F" w14:paraId="3C7B9AB8"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63D7F56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Programmatic Languages</w:t>
            </w:r>
          </w:p>
        </w:tc>
        <w:tc>
          <w:tcPr>
            <w:tcW w:w="2340" w:type="dxa"/>
            <w:shd w:val="clear" w:color="auto" w:fill="FFFFFF" w:themeFill="background1"/>
            <w:tcMar>
              <w:top w:w="60" w:type="dxa"/>
              <w:left w:w="120" w:type="dxa"/>
              <w:bottom w:w="60" w:type="dxa"/>
              <w:right w:w="120" w:type="dxa"/>
            </w:tcMar>
          </w:tcPr>
          <w:p w14:paraId="6EEDA32A"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Python (</w:t>
            </w:r>
            <w:proofErr w:type="spellStart"/>
            <w:r w:rsidRPr="00C96C5F">
              <w:rPr>
                <w:rFonts w:ascii="Times New Roman" w:hAnsi="Times New Roman" w:cs="Times New Roman"/>
                <w:color w:val="000000" w:themeColor="text1"/>
                <w:sz w:val="24"/>
                <w:szCs w:val="24"/>
              </w:rPr>
              <w:t>Biopython</w:t>
            </w:r>
            <w:proofErr w:type="spellEnd"/>
            <w:r w:rsidRPr="00C96C5F">
              <w:rPr>
                <w:rFonts w:ascii="Times New Roman" w:hAnsi="Times New Roman" w:cs="Times New Roman"/>
                <w:color w:val="000000" w:themeColor="text1"/>
                <w:sz w:val="24"/>
                <w:szCs w:val="24"/>
              </w:rPr>
              <w:t>), R, Perl</w:t>
            </w:r>
          </w:p>
        </w:tc>
        <w:tc>
          <w:tcPr>
            <w:tcW w:w="2340" w:type="dxa"/>
            <w:shd w:val="clear" w:color="auto" w:fill="FFFFFF" w:themeFill="background1"/>
            <w:tcMar>
              <w:top w:w="60" w:type="dxa"/>
              <w:left w:w="120" w:type="dxa"/>
              <w:bottom w:w="60" w:type="dxa"/>
              <w:right w:w="120" w:type="dxa"/>
            </w:tcMar>
          </w:tcPr>
          <w:p w14:paraId="2D99780C"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Python, R, curl</w:t>
            </w:r>
          </w:p>
        </w:tc>
        <w:tc>
          <w:tcPr>
            <w:tcW w:w="2340" w:type="dxa"/>
            <w:shd w:val="clear" w:color="auto" w:fill="FFFFFF" w:themeFill="background1"/>
            <w:tcMar>
              <w:top w:w="60" w:type="dxa"/>
              <w:left w:w="120" w:type="dxa"/>
              <w:bottom w:w="60" w:type="dxa"/>
              <w:right w:w="120" w:type="dxa"/>
            </w:tcMar>
          </w:tcPr>
          <w:p w14:paraId="739F2C83"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Python (</w:t>
            </w:r>
            <w:proofErr w:type="spellStart"/>
            <w:r w:rsidRPr="00C96C5F">
              <w:rPr>
                <w:rFonts w:ascii="Times New Roman" w:hAnsi="Times New Roman" w:cs="Times New Roman"/>
                <w:color w:val="000000" w:themeColor="text1"/>
                <w:sz w:val="24"/>
                <w:szCs w:val="24"/>
              </w:rPr>
              <w:t>pypdb</w:t>
            </w:r>
            <w:proofErr w:type="spellEnd"/>
            <w:r w:rsidRPr="00C96C5F">
              <w:rPr>
                <w:rFonts w:ascii="Times New Roman" w:hAnsi="Times New Roman" w:cs="Times New Roman"/>
                <w:color w:val="000000" w:themeColor="text1"/>
                <w:sz w:val="24"/>
                <w:szCs w:val="24"/>
              </w:rPr>
              <w:t xml:space="preserve">, </w:t>
            </w:r>
            <w:proofErr w:type="spellStart"/>
            <w:r w:rsidRPr="00C96C5F">
              <w:rPr>
                <w:rFonts w:ascii="Times New Roman" w:hAnsi="Times New Roman" w:cs="Times New Roman"/>
                <w:color w:val="000000" w:themeColor="text1"/>
                <w:sz w:val="24"/>
                <w:szCs w:val="24"/>
              </w:rPr>
              <w:t>biopython</w:t>
            </w:r>
            <w:proofErr w:type="spellEnd"/>
            <w:r w:rsidRPr="00C96C5F">
              <w:rPr>
                <w:rFonts w:ascii="Times New Roman" w:hAnsi="Times New Roman" w:cs="Times New Roman"/>
                <w:color w:val="000000" w:themeColor="text1"/>
                <w:sz w:val="24"/>
                <w:szCs w:val="24"/>
              </w:rPr>
              <w:t>), R</w:t>
            </w:r>
          </w:p>
        </w:tc>
      </w:tr>
      <w:tr w:rsidR="001E6242" w:rsidRPr="00C96C5F" w14:paraId="4015E972"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6CEB6BDE"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lastRenderedPageBreak/>
              <w:t>Visualization</w:t>
            </w:r>
          </w:p>
        </w:tc>
        <w:tc>
          <w:tcPr>
            <w:tcW w:w="2340" w:type="dxa"/>
            <w:shd w:val="clear" w:color="auto" w:fill="FFFFFF" w:themeFill="background1"/>
            <w:tcMar>
              <w:top w:w="60" w:type="dxa"/>
              <w:left w:w="120" w:type="dxa"/>
              <w:bottom w:w="60" w:type="dxa"/>
              <w:right w:w="120" w:type="dxa"/>
            </w:tcMar>
          </w:tcPr>
          <w:p w14:paraId="1E961A7D"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Sequence viewers, genome browser</w:t>
            </w:r>
          </w:p>
        </w:tc>
        <w:tc>
          <w:tcPr>
            <w:tcW w:w="2340" w:type="dxa"/>
            <w:shd w:val="clear" w:color="auto" w:fill="FFFFFF" w:themeFill="background1"/>
            <w:tcMar>
              <w:top w:w="60" w:type="dxa"/>
              <w:left w:w="120" w:type="dxa"/>
              <w:bottom w:w="60" w:type="dxa"/>
              <w:right w:w="120" w:type="dxa"/>
            </w:tcMar>
          </w:tcPr>
          <w:p w14:paraId="7F82E42E"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Feature viewer, structure overlay</w:t>
            </w:r>
          </w:p>
        </w:tc>
        <w:tc>
          <w:tcPr>
            <w:tcW w:w="2340" w:type="dxa"/>
            <w:shd w:val="clear" w:color="auto" w:fill="FFFFFF" w:themeFill="background1"/>
            <w:tcMar>
              <w:top w:w="60" w:type="dxa"/>
              <w:left w:w="120" w:type="dxa"/>
              <w:bottom w:w="60" w:type="dxa"/>
              <w:right w:w="120" w:type="dxa"/>
            </w:tcMar>
          </w:tcPr>
          <w:p w14:paraId="5B78B07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Mol*, </w:t>
            </w:r>
            <w:proofErr w:type="spellStart"/>
            <w:r w:rsidRPr="00C96C5F">
              <w:rPr>
                <w:rFonts w:ascii="Times New Roman" w:hAnsi="Times New Roman" w:cs="Times New Roman"/>
                <w:color w:val="000000" w:themeColor="text1"/>
                <w:sz w:val="24"/>
                <w:szCs w:val="24"/>
              </w:rPr>
              <w:t>PyMOL</w:t>
            </w:r>
            <w:proofErr w:type="spellEnd"/>
            <w:r w:rsidRPr="00C96C5F">
              <w:rPr>
                <w:rFonts w:ascii="Times New Roman" w:hAnsi="Times New Roman" w:cs="Times New Roman"/>
                <w:color w:val="000000" w:themeColor="text1"/>
                <w:sz w:val="24"/>
                <w:szCs w:val="24"/>
              </w:rPr>
              <w:t>, Chimera</w:t>
            </w:r>
          </w:p>
        </w:tc>
      </w:tr>
      <w:tr w:rsidR="001E6242" w:rsidRPr="00C96C5F" w14:paraId="7710EB87"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23A980B3"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Disease Data Integration</w:t>
            </w:r>
          </w:p>
        </w:tc>
        <w:tc>
          <w:tcPr>
            <w:tcW w:w="2340" w:type="dxa"/>
            <w:shd w:val="clear" w:color="auto" w:fill="FFFFFF" w:themeFill="background1"/>
            <w:tcMar>
              <w:top w:w="60" w:type="dxa"/>
              <w:left w:w="120" w:type="dxa"/>
              <w:bottom w:w="60" w:type="dxa"/>
              <w:right w:w="120" w:type="dxa"/>
            </w:tcMar>
          </w:tcPr>
          <w:p w14:paraId="38BB150A"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t>ClinVar</w:t>
            </w:r>
            <w:proofErr w:type="spellEnd"/>
            <w:r w:rsidRPr="00C96C5F">
              <w:rPr>
                <w:rFonts w:ascii="Times New Roman" w:hAnsi="Times New Roman" w:cs="Times New Roman"/>
                <w:color w:val="000000" w:themeColor="text1"/>
                <w:sz w:val="24"/>
                <w:szCs w:val="24"/>
              </w:rPr>
              <w:t>, OMIM links</w:t>
            </w:r>
          </w:p>
        </w:tc>
        <w:tc>
          <w:tcPr>
            <w:tcW w:w="2340" w:type="dxa"/>
            <w:shd w:val="clear" w:color="auto" w:fill="FFFFFF" w:themeFill="background1"/>
            <w:tcMar>
              <w:top w:w="60" w:type="dxa"/>
              <w:left w:w="120" w:type="dxa"/>
              <w:bottom w:w="60" w:type="dxa"/>
              <w:right w:w="120" w:type="dxa"/>
            </w:tcMar>
          </w:tcPr>
          <w:p w14:paraId="7C22FB71"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Direct disease annotations</w:t>
            </w:r>
          </w:p>
        </w:tc>
        <w:tc>
          <w:tcPr>
            <w:tcW w:w="2340" w:type="dxa"/>
            <w:shd w:val="clear" w:color="auto" w:fill="FFFFFF" w:themeFill="background1"/>
            <w:tcMar>
              <w:top w:w="60" w:type="dxa"/>
              <w:left w:w="120" w:type="dxa"/>
              <w:bottom w:w="60" w:type="dxa"/>
              <w:right w:w="120" w:type="dxa"/>
            </w:tcMar>
          </w:tcPr>
          <w:p w14:paraId="651523F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Drug-target structures</w:t>
            </w:r>
          </w:p>
        </w:tc>
      </w:tr>
      <w:tr w:rsidR="001E6242" w:rsidRPr="00C96C5F" w14:paraId="1064BBA6"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5F289A78"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Free and Open Access</w:t>
            </w:r>
          </w:p>
        </w:tc>
        <w:tc>
          <w:tcPr>
            <w:tcW w:w="2340" w:type="dxa"/>
            <w:shd w:val="clear" w:color="auto" w:fill="FFFFFF" w:themeFill="background1"/>
            <w:tcMar>
              <w:top w:w="60" w:type="dxa"/>
              <w:left w:w="120" w:type="dxa"/>
              <w:bottom w:w="60" w:type="dxa"/>
              <w:right w:w="120" w:type="dxa"/>
            </w:tcMar>
          </w:tcPr>
          <w:p w14:paraId="33BAD45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Yes (NIH-funded)</w:t>
            </w:r>
          </w:p>
        </w:tc>
        <w:tc>
          <w:tcPr>
            <w:tcW w:w="2340" w:type="dxa"/>
            <w:shd w:val="clear" w:color="auto" w:fill="FFFFFF" w:themeFill="background1"/>
            <w:tcMar>
              <w:top w:w="60" w:type="dxa"/>
              <w:left w:w="120" w:type="dxa"/>
              <w:bottom w:w="60" w:type="dxa"/>
              <w:right w:w="120" w:type="dxa"/>
            </w:tcMar>
          </w:tcPr>
          <w:p w14:paraId="217028C1"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Yes (public resource)</w:t>
            </w:r>
          </w:p>
        </w:tc>
        <w:tc>
          <w:tcPr>
            <w:tcW w:w="2340" w:type="dxa"/>
            <w:shd w:val="clear" w:color="auto" w:fill="FFFFFF" w:themeFill="background1"/>
            <w:tcMar>
              <w:top w:w="60" w:type="dxa"/>
              <w:left w:w="120" w:type="dxa"/>
              <w:bottom w:w="60" w:type="dxa"/>
              <w:right w:w="120" w:type="dxa"/>
            </w:tcMar>
          </w:tcPr>
          <w:p w14:paraId="66D83B38"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Yes (wwPDB open data policy)</w:t>
            </w:r>
          </w:p>
        </w:tc>
      </w:tr>
      <w:tr w:rsidR="001E6242" w:rsidRPr="00C96C5F" w14:paraId="33C93E76"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037F7CCA"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Best Use Case</w:t>
            </w:r>
          </w:p>
        </w:tc>
        <w:tc>
          <w:tcPr>
            <w:tcW w:w="2340" w:type="dxa"/>
            <w:shd w:val="clear" w:color="auto" w:fill="FFFFFF" w:themeFill="background1"/>
            <w:tcMar>
              <w:top w:w="60" w:type="dxa"/>
              <w:left w:w="120" w:type="dxa"/>
              <w:bottom w:w="60" w:type="dxa"/>
              <w:right w:w="120" w:type="dxa"/>
            </w:tcMar>
          </w:tcPr>
          <w:p w14:paraId="4CE30EAC"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Sequence discovery, literature mining, variant analysis</w:t>
            </w:r>
          </w:p>
        </w:tc>
        <w:tc>
          <w:tcPr>
            <w:tcW w:w="2340" w:type="dxa"/>
            <w:shd w:val="clear" w:color="auto" w:fill="FFFFFF" w:themeFill="background1"/>
            <w:tcMar>
              <w:top w:w="60" w:type="dxa"/>
              <w:left w:w="120" w:type="dxa"/>
              <w:bottom w:w="60" w:type="dxa"/>
              <w:right w:w="120" w:type="dxa"/>
            </w:tcMar>
          </w:tcPr>
          <w:p w14:paraId="3DB6CCA7"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Protein function, pathway, drug target annotation</w:t>
            </w:r>
          </w:p>
        </w:tc>
        <w:tc>
          <w:tcPr>
            <w:tcW w:w="2340" w:type="dxa"/>
            <w:shd w:val="clear" w:color="auto" w:fill="FFFFFF" w:themeFill="background1"/>
            <w:tcMar>
              <w:top w:w="60" w:type="dxa"/>
              <w:left w:w="120" w:type="dxa"/>
              <w:bottom w:w="60" w:type="dxa"/>
              <w:right w:w="120" w:type="dxa"/>
            </w:tcMar>
          </w:tcPr>
          <w:p w14:paraId="28D5F949"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Structure-based drug design, molecular visualization</w:t>
            </w:r>
          </w:p>
        </w:tc>
      </w:tr>
    </w:tbl>
    <w:p w14:paraId="4A6DFFA5" w14:textId="77777777" w:rsidR="001E6242" w:rsidRPr="00C96C5F" w:rsidRDefault="001E6242" w:rsidP="001E6242">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4.6  Integrated</w:t>
      </w:r>
      <w:proofErr w:type="gramEnd"/>
      <w:r w:rsidRPr="00C96C5F">
        <w:rPr>
          <w:rFonts w:ascii="Times New Roman" w:hAnsi="Times New Roman" w:cs="Times New Roman"/>
          <w:b/>
          <w:bCs/>
          <w:color w:val="000000" w:themeColor="text1"/>
          <w:sz w:val="24"/>
          <w:szCs w:val="24"/>
        </w:rPr>
        <w:t xml:space="preserve"> Workflow: How the Three Databases Work Together</w:t>
      </w:r>
    </w:p>
    <w:p w14:paraId="78F5416B"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In a typical research workflow, all three databases are used synergistically:</w:t>
      </w:r>
    </w:p>
    <w:p w14:paraId="73DB95F6" w14:textId="77777777" w:rsidR="001E6242" w:rsidRPr="00C96C5F" w:rsidRDefault="001E6242" w:rsidP="001E6242">
      <w:pPr>
        <w:spacing w:before="100" w:after="100" w:line="276" w:lineRule="auto"/>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340"/>
        <w:gridCol w:w="2340"/>
        <w:gridCol w:w="2340"/>
        <w:gridCol w:w="2340"/>
      </w:tblGrid>
      <w:tr w:rsidR="001E6242" w:rsidRPr="00C96C5F" w14:paraId="56FEC7E9" w14:textId="77777777" w:rsidTr="00472285">
        <w:tblPrEx>
          <w:tblCellMar>
            <w:top w:w="0" w:type="dxa"/>
            <w:bottom w:w="0" w:type="dxa"/>
          </w:tblCellMar>
        </w:tblPrEx>
        <w:tc>
          <w:tcPr>
            <w:tcW w:w="2340" w:type="dxa"/>
            <w:shd w:val="clear" w:color="auto" w:fill="FFFFFF" w:themeFill="background1"/>
            <w:tcMar>
              <w:top w:w="80" w:type="dxa"/>
              <w:left w:w="120" w:type="dxa"/>
              <w:bottom w:w="80" w:type="dxa"/>
              <w:right w:w="120" w:type="dxa"/>
            </w:tcMar>
          </w:tcPr>
          <w:p w14:paraId="4A14F461"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Step</w:t>
            </w:r>
          </w:p>
        </w:tc>
        <w:tc>
          <w:tcPr>
            <w:tcW w:w="2340" w:type="dxa"/>
            <w:shd w:val="clear" w:color="auto" w:fill="FFFFFF" w:themeFill="background1"/>
            <w:tcMar>
              <w:top w:w="80" w:type="dxa"/>
              <w:left w:w="120" w:type="dxa"/>
              <w:bottom w:w="80" w:type="dxa"/>
              <w:right w:w="120" w:type="dxa"/>
            </w:tcMar>
          </w:tcPr>
          <w:p w14:paraId="20F00A60"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Action</w:t>
            </w:r>
          </w:p>
        </w:tc>
        <w:tc>
          <w:tcPr>
            <w:tcW w:w="2340" w:type="dxa"/>
            <w:shd w:val="clear" w:color="auto" w:fill="FFFFFF" w:themeFill="background1"/>
            <w:tcMar>
              <w:top w:w="80" w:type="dxa"/>
              <w:left w:w="120" w:type="dxa"/>
              <w:bottom w:w="80" w:type="dxa"/>
              <w:right w:w="120" w:type="dxa"/>
            </w:tcMar>
          </w:tcPr>
          <w:p w14:paraId="33CAD640"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Database Used</w:t>
            </w:r>
          </w:p>
        </w:tc>
        <w:tc>
          <w:tcPr>
            <w:tcW w:w="2340" w:type="dxa"/>
            <w:shd w:val="clear" w:color="auto" w:fill="FFFFFF" w:themeFill="background1"/>
            <w:tcMar>
              <w:top w:w="80" w:type="dxa"/>
              <w:left w:w="120" w:type="dxa"/>
              <w:bottom w:w="80" w:type="dxa"/>
              <w:right w:w="120" w:type="dxa"/>
            </w:tcMar>
          </w:tcPr>
          <w:p w14:paraId="078A12C5"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Output</w:t>
            </w:r>
          </w:p>
        </w:tc>
      </w:tr>
      <w:tr w:rsidR="001E6242" w:rsidRPr="00C96C5F" w14:paraId="3CE676FA"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07482644"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1</w:t>
            </w:r>
          </w:p>
        </w:tc>
        <w:tc>
          <w:tcPr>
            <w:tcW w:w="2340" w:type="dxa"/>
            <w:shd w:val="clear" w:color="auto" w:fill="FFFFFF" w:themeFill="background1"/>
            <w:tcMar>
              <w:top w:w="60" w:type="dxa"/>
              <w:left w:w="120" w:type="dxa"/>
              <w:bottom w:w="60" w:type="dxa"/>
              <w:right w:w="120" w:type="dxa"/>
            </w:tcMar>
          </w:tcPr>
          <w:p w14:paraId="75F0B267"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Identify gene/protein of interest from literature</w:t>
            </w:r>
          </w:p>
        </w:tc>
        <w:tc>
          <w:tcPr>
            <w:tcW w:w="2340" w:type="dxa"/>
            <w:shd w:val="clear" w:color="auto" w:fill="FFFFFF" w:themeFill="background1"/>
            <w:tcMar>
              <w:top w:w="60" w:type="dxa"/>
              <w:left w:w="120" w:type="dxa"/>
              <w:bottom w:w="60" w:type="dxa"/>
              <w:right w:w="120" w:type="dxa"/>
            </w:tcMar>
          </w:tcPr>
          <w:p w14:paraId="2DF8FFFF"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PubMed (NCBI)</w:t>
            </w:r>
          </w:p>
        </w:tc>
        <w:tc>
          <w:tcPr>
            <w:tcW w:w="2340" w:type="dxa"/>
            <w:shd w:val="clear" w:color="auto" w:fill="FFFFFF" w:themeFill="background1"/>
            <w:tcMar>
              <w:top w:w="60" w:type="dxa"/>
              <w:left w:w="120" w:type="dxa"/>
              <w:bottom w:w="60" w:type="dxa"/>
              <w:right w:w="120" w:type="dxa"/>
            </w:tcMar>
          </w:tcPr>
          <w:p w14:paraId="4481A6BD"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Gene name, accession</w:t>
            </w:r>
          </w:p>
        </w:tc>
      </w:tr>
      <w:tr w:rsidR="001E6242" w:rsidRPr="00C96C5F" w14:paraId="557AC8A1"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706F383F"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2</w:t>
            </w:r>
          </w:p>
        </w:tc>
        <w:tc>
          <w:tcPr>
            <w:tcW w:w="2340" w:type="dxa"/>
            <w:shd w:val="clear" w:color="auto" w:fill="FFFFFF" w:themeFill="background1"/>
            <w:tcMar>
              <w:top w:w="60" w:type="dxa"/>
              <w:left w:w="120" w:type="dxa"/>
              <w:bottom w:w="60" w:type="dxa"/>
              <w:right w:w="120" w:type="dxa"/>
            </w:tcMar>
          </w:tcPr>
          <w:p w14:paraId="75CDCA8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Retrieve reference nucleotide sequence</w:t>
            </w:r>
          </w:p>
        </w:tc>
        <w:tc>
          <w:tcPr>
            <w:tcW w:w="2340" w:type="dxa"/>
            <w:shd w:val="clear" w:color="auto" w:fill="FFFFFF" w:themeFill="background1"/>
            <w:tcMar>
              <w:top w:w="60" w:type="dxa"/>
              <w:left w:w="120" w:type="dxa"/>
              <w:bottom w:w="60" w:type="dxa"/>
              <w:right w:w="120" w:type="dxa"/>
            </w:tcMar>
          </w:tcPr>
          <w:p w14:paraId="72DEE6B8"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NCBI </w:t>
            </w:r>
            <w:proofErr w:type="spellStart"/>
            <w:r w:rsidRPr="00C96C5F">
              <w:rPr>
                <w:rFonts w:ascii="Times New Roman" w:hAnsi="Times New Roman" w:cs="Times New Roman"/>
                <w:color w:val="000000" w:themeColor="text1"/>
                <w:sz w:val="24"/>
                <w:szCs w:val="24"/>
              </w:rPr>
              <w:t>RefSeq</w:t>
            </w:r>
            <w:proofErr w:type="spellEnd"/>
            <w:r w:rsidRPr="00C96C5F">
              <w:rPr>
                <w:rFonts w:ascii="Times New Roman" w:hAnsi="Times New Roman" w:cs="Times New Roman"/>
                <w:color w:val="000000" w:themeColor="text1"/>
                <w:sz w:val="24"/>
                <w:szCs w:val="24"/>
              </w:rPr>
              <w:t xml:space="preserve"> / GenBank</w:t>
            </w:r>
          </w:p>
        </w:tc>
        <w:tc>
          <w:tcPr>
            <w:tcW w:w="2340" w:type="dxa"/>
            <w:shd w:val="clear" w:color="auto" w:fill="FFFFFF" w:themeFill="background1"/>
            <w:tcMar>
              <w:top w:w="60" w:type="dxa"/>
              <w:left w:w="120" w:type="dxa"/>
              <w:bottom w:w="60" w:type="dxa"/>
              <w:right w:w="120" w:type="dxa"/>
            </w:tcMar>
          </w:tcPr>
          <w:p w14:paraId="6C4606AB"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mRNA sequence (FASTA)</w:t>
            </w:r>
          </w:p>
        </w:tc>
      </w:tr>
      <w:tr w:rsidR="001E6242" w:rsidRPr="00C96C5F" w14:paraId="0743C633"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626FA1BA"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3</w:t>
            </w:r>
          </w:p>
        </w:tc>
        <w:tc>
          <w:tcPr>
            <w:tcW w:w="2340" w:type="dxa"/>
            <w:shd w:val="clear" w:color="auto" w:fill="FFFFFF" w:themeFill="background1"/>
            <w:tcMar>
              <w:top w:w="60" w:type="dxa"/>
              <w:left w:w="120" w:type="dxa"/>
              <w:bottom w:w="60" w:type="dxa"/>
              <w:right w:w="120" w:type="dxa"/>
            </w:tcMar>
          </w:tcPr>
          <w:p w14:paraId="6F9C4338"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Translate and find protein sequence</w:t>
            </w:r>
          </w:p>
        </w:tc>
        <w:tc>
          <w:tcPr>
            <w:tcW w:w="2340" w:type="dxa"/>
            <w:shd w:val="clear" w:color="auto" w:fill="FFFFFF" w:themeFill="background1"/>
            <w:tcMar>
              <w:top w:w="60" w:type="dxa"/>
              <w:left w:w="120" w:type="dxa"/>
              <w:bottom w:w="60" w:type="dxa"/>
              <w:right w:w="120" w:type="dxa"/>
            </w:tcMar>
          </w:tcPr>
          <w:p w14:paraId="58CBB5B3"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NCBI Protein / </w:t>
            </w:r>
            <w:proofErr w:type="spellStart"/>
            <w:r w:rsidRPr="00C96C5F">
              <w:rPr>
                <w:rFonts w:ascii="Times New Roman" w:hAnsi="Times New Roman" w:cs="Times New Roman"/>
                <w:color w:val="000000" w:themeColor="text1"/>
                <w:sz w:val="24"/>
                <w:szCs w:val="24"/>
              </w:rPr>
              <w:t>UniProt</w:t>
            </w:r>
            <w:proofErr w:type="spellEnd"/>
          </w:p>
        </w:tc>
        <w:tc>
          <w:tcPr>
            <w:tcW w:w="2340" w:type="dxa"/>
            <w:shd w:val="clear" w:color="auto" w:fill="FFFFFF" w:themeFill="background1"/>
            <w:tcMar>
              <w:top w:w="60" w:type="dxa"/>
              <w:left w:w="120" w:type="dxa"/>
              <w:bottom w:w="60" w:type="dxa"/>
              <w:right w:w="120" w:type="dxa"/>
            </w:tcMar>
          </w:tcPr>
          <w:p w14:paraId="1A0685B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Protein FASTA</w:t>
            </w:r>
          </w:p>
        </w:tc>
      </w:tr>
      <w:tr w:rsidR="001E6242" w:rsidRPr="00C96C5F" w14:paraId="4FD7B3EA"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4E173F69"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4</w:t>
            </w:r>
          </w:p>
        </w:tc>
        <w:tc>
          <w:tcPr>
            <w:tcW w:w="2340" w:type="dxa"/>
            <w:shd w:val="clear" w:color="auto" w:fill="FFFFFF" w:themeFill="background1"/>
            <w:tcMar>
              <w:top w:w="60" w:type="dxa"/>
              <w:left w:w="120" w:type="dxa"/>
              <w:bottom w:w="60" w:type="dxa"/>
              <w:right w:w="120" w:type="dxa"/>
            </w:tcMar>
          </w:tcPr>
          <w:p w14:paraId="6CE8716A"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Obtain functional annotation</w:t>
            </w:r>
          </w:p>
        </w:tc>
        <w:tc>
          <w:tcPr>
            <w:tcW w:w="2340" w:type="dxa"/>
            <w:shd w:val="clear" w:color="auto" w:fill="FFFFFF" w:themeFill="background1"/>
            <w:tcMar>
              <w:top w:w="60" w:type="dxa"/>
              <w:left w:w="120" w:type="dxa"/>
              <w:bottom w:w="60" w:type="dxa"/>
              <w:right w:w="120" w:type="dxa"/>
            </w:tcMar>
          </w:tcPr>
          <w:p w14:paraId="2C53DA48"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t>UniProt</w:t>
            </w:r>
            <w:proofErr w:type="spellEnd"/>
            <w:r w:rsidRPr="00C96C5F">
              <w:rPr>
                <w:rFonts w:ascii="Times New Roman" w:hAnsi="Times New Roman" w:cs="Times New Roman"/>
                <w:color w:val="000000" w:themeColor="text1"/>
                <w:sz w:val="24"/>
                <w:szCs w:val="24"/>
              </w:rPr>
              <w:t xml:space="preserve"> Swiss-Prot</w:t>
            </w:r>
          </w:p>
        </w:tc>
        <w:tc>
          <w:tcPr>
            <w:tcW w:w="2340" w:type="dxa"/>
            <w:shd w:val="clear" w:color="auto" w:fill="FFFFFF" w:themeFill="background1"/>
            <w:tcMar>
              <w:top w:w="60" w:type="dxa"/>
              <w:left w:w="120" w:type="dxa"/>
              <w:bottom w:w="60" w:type="dxa"/>
              <w:right w:w="120" w:type="dxa"/>
            </w:tcMar>
          </w:tcPr>
          <w:p w14:paraId="27E9CFDA"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GO terms, pathways, PTMs, diseases</w:t>
            </w:r>
          </w:p>
        </w:tc>
      </w:tr>
      <w:tr w:rsidR="001E6242" w:rsidRPr="00C96C5F" w14:paraId="045D917D"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211DEA0E"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5</w:t>
            </w:r>
          </w:p>
        </w:tc>
        <w:tc>
          <w:tcPr>
            <w:tcW w:w="2340" w:type="dxa"/>
            <w:shd w:val="clear" w:color="auto" w:fill="FFFFFF" w:themeFill="background1"/>
            <w:tcMar>
              <w:top w:w="60" w:type="dxa"/>
              <w:left w:w="120" w:type="dxa"/>
              <w:bottom w:w="60" w:type="dxa"/>
              <w:right w:w="120" w:type="dxa"/>
            </w:tcMar>
          </w:tcPr>
          <w:p w14:paraId="13A8F0F5"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Find/predict 3D structure</w:t>
            </w:r>
          </w:p>
        </w:tc>
        <w:tc>
          <w:tcPr>
            <w:tcW w:w="2340" w:type="dxa"/>
            <w:shd w:val="clear" w:color="auto" w:fill="FFFFFF" w:themeFill="background1"/>
            <w:tcMar>
              <w:top w:w="60" w:type="dxa"/>
              <w:left w:w="120" w:type="dxa"/>
              <w:bottom w:w="60" w:type="dxa"/>
              <w:right w:w="120" w:type="dxa"/>
            </w:tcMar>
          </w:tcPr>
          <w:p w14:paraId="5330A09F"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PDB / AlphaFold</w:t>
            </w:r>
          </w:p>
        </w:tc>
        <w:tc>
          <w:tcPr>
            <w:tcW w:w="2340" w:type="dxa"/>
            <w:shd w:val="clear" w:color="auto" w:fill="FFFFFF" w:themeFill="background1"/>
            <w:tcMar>
              <w:top w:w="60" w:type="dxa"/>
              <w:left w:w="120" w:type="dxa"/>
              <w:bottom w:w="60" w:type="dxa"/>
              <w:right w:w="120" w:type="dxa"/>
            </w:tcMar>
          </w:tcPr>
          <w:p w14:paraId="0B8EE7C1"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PDB/</w:t>
            </w:r>
            <w:proofErr w:type="spellStart"/>
            <w:r w:rsidRPr="00C96C5F">
              <w:rPr>
                <w:rFonts w:ascii="Times New Roman" w:hAnsi="Times New Roman" w:cs="Times New Roman"/>
                <w:color w:val="000000" w:themeColor="text1"/>
                <w:sz w:val="24"/>
                <w:szCs w:val="24"/>
              </w:rPr>
              <w:t>mmCIF</w:t>
            </w:r>
            <w:proofErr w:type="spellEnd"/>
            <w:r w:rsidRPr="00C96C5F">
              <w:rPr>
                <w:rFonts w:ascii="Times New Roman" w:hAnsi="Times New Roman" w:cs="Times New Roman"/>
                <w:color w:val="000000" w:themeColor="text1"/>
                <w:sz w:val="24"/>
                <w:szCs w:val="24"/>
              </w:rPr>
              <w:t xml:space="preserve"> file</w:t>
            </w:r>
          </w:p>
        </w:tc>
      </w:tr>
      <w:tr w:rsidR="001E6242" w:rsidRPr="00C96C5F" w14:paraId="281E3244"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14A308A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6</w:t>
            </w:r>
          </w:p>
        </w:tc>
        <w:tc>
          <w:tcPr>
            <w:tcW w:w="2340" w:type="dxa"/>
            <w:shd w:val="clear" w:color="auto" w:fill="FFFFFF" w:themeFill="background1"/>
            <w:tcMar>
              <w:top w:w="60" w:type="dxa"/>
              <w:left w:w="120" w:type="dxa"/>
              <w:bottom w:w="60" w:type="dxa"/>
              <w:right w:w="120" w:type="dxa"/>
            </w:tcMar>
          </w:tcPr>
          <w:p w14:paraId="4D8EE65F"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Identify binding site / drug interaction</w:t>
            </w:r>
          </w:p>
        </w:tc>
        <w:tc>
          <w:tcPr>
            <w:tcW w:w="2340" w:type="dxa"/>
            <w:shd w:val="clear" w:color="auto" w:fill="FFFFFF" w:themeFill="background1"/>
            <w:tcMar>
              <w:top w:w="60" w:type="dxa"/>
              <w:left w:w="120" w:type="dxa"/>
              <w:bottom w:w="60" w:type="dxa"/>
              <w:right w:w="120" w:type="dxa"/>
            </w:tcMar>
          </w:tcPr>
          <w:p w14:paraId="7E28BB33"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PDB + </w:t>
            </w:r>
            <w:proofErr w:type="spellStart"/>
            <w:r w:rsidRPr="00C96C5F">
              <w:rPr>
                <w:rFonts w:ascii="Times New Roman" w:hAnsi="Times New Roman" w:cs="Times New Roman"/>
                <w:color w:val="000000" w:themeColor="text1"/>
                <w:sz w:val="24"/>
                <w:szCs w:val="24"/>
              </w:rPr>
              <w:t>UniProt</w:t>
            </w:r>
            <w:proofErr w:type="spellEnd"/>
            <w:r w:rsidRPr="00C96C5F">
              <w:rPr>
                <w:rFonts w:ascii="Times New Roman" w:hAnsi="Times New Roman" w:cs="Times New Roman"/>
                <w:color w:val="000000" w:themeColor="text1"/>
                <w:sz w:val="24"/>
                <w:szCs w:val="24"/>
              </w:rPr>
              <w:t xml:space="preserve"> feature viewer</w:t>
            </w:r>
          </w:p>
        </w:tc>
        <w:tc>
          <w:tcPr>
            <w:tcW w:w="2340" w:type="dxa"/>
            <w:shd w:val="clear" w:color="auto" w:fill="FFFFFF" w:themeFill="background1"/>
            <w:tcMar>
              <w:top w:w="60" w:type="dxa"/>
              <w:left w:w="120" w:type="dxa"/>
              <w:bottom w:w="60" w:type="dxa"/>
              <w:right w:w="120" w:type="dxa"/>
            </w:tcMar>
          </w:tcPr>
          <w:p w14:paraId="7BA29AEB"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Active site residues</w:t>
            </w:r>
          </w:p>
        </w:tc>
      </w:tr>
      <w:tr w:rsidR="001E6242" w:rsidRPr="00C96C5F" w14:paraId="11B46E7C" w14:textId="77777777" w:rsidTr="00472285">
        <w:tblPrEx>
          <w:tblCellMar>
            <w:top w:w="0" w:type="dxa"/>
            <w:bottom w:w="0" w:type="dxa"/>
          </w:tblCellMar>
        </w:tblPrEx>
        <w:tc>
          <w:tcPr>
            <w:tcW w:w="2340" w:type="dxa"/>
            <w:shd w:val="clear" w:color="auto" w:fill="FFFFFF" w:themeFill="background1"/>
            <w:tcMar>
              <w:top w:w="60" w:type="dxa"/>
              <w:left w:w="120" w:type="dxa"/>
              <w:bottom w:w="60" w:type="dxa"/>
              <w:right w:w="120" w:type="dxa"/>
            </w:tcMar>
          </w:tcPr>
          <w:p w14:paraId="297B2F26"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7</w:t>
            </w:r>
          </w:p>
        </w:tc>
        <w:tc>
          <w:tcPr>
            <w:tcW w:w="2340" w:type="dxa"/>
            <w:shd w:val="clear" w:color="auto" w:fill="FFFFFF" w:themeFill="background1"/>
            <w:tcMar>
              <w:top w:w="60" w:type="dxa"/>
              <w:left w:w="120" w:type="dxa"/>
              <w:bottom w:w="60" w:type="dxa"/>
              <w:right w:w="120" w:type="dxa"/>
            </w:tcMar>
          </w:tcPr>
          <w:p w14:paraId="75CC937A"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Identify homologs / design experiments</w:t>
            </w:r>
          </w:p>
        </w:tc>
        <w:tc>
          <w:tcPr>
            <w:tcW w:w="2340" w:type="dxa"/>
            <w:shd w:val="clear" w:color="auto" w:fill="FFFFFF" w:themeFill="background1"/>
            <w:tcMar>
              <w:top w:w="60" w:type="dxa"/>
              <w:left w:w="120" w:type="dxa"/>
              <w:bottom w:w="60" w:type="dxa"/>
              <w:right w:w="120" w:type="dxa"/>
            </w:tcMar>
          </w:tcPr>
          <w:p w14:paraId="4442A4E2"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NCBI BLAST + </w:t>
            </w:r>
            <w:proofErr w:type="spellStart"/>
            <w:r w:rsidRPr="00C96C5F">
              <w:rPr>
                <w:rFonts w:ascii="Times New Roman" w:hAnsi="Times New Roman" w:cs="Times New Roman"/>
                <w:color w:val="000000" w:themeColor="text1"/>
                <w:sz w:val="24"/>
                <w:szCs w:val="24"/>
              </w:rPr>
              <w:t>UniProt</w:t>
            </w:r>
            <w:proofErr w:type="spellEnd"/>
            <w:r w:rsidRPr="00C96C5F">
              <w:rPr>
                <w:rFonts w:ascii="Times New Roman" w:hAnsi="Times New Roman" w:cs="Times New Roman"/>
                <w:color w:val="000000" w:themeColor="text1"/>
                <w:sz w:val="24"/>
                <w:szCs w:val="24"/>
              </w:rPr>
              <w:t xml:space="preserve"> BLAST</w:t>
            </w:r>
          </w:p>
        </w:tc>
        <w:tc>
          <w:tcPr>
            <w:tcW w:w="2340" w:type="dxa"/>
            <w:shd w:val="clear" w:color="auto" w:fill="FFFFFF" w:themeFill="background1"/>
            <w:tcMar>
              <w:top w:w="60" w:type="dxa"/>
              <w:left w:w="120" w:type="dxa"/>
              <w:bottom w:w="60" w:type="dxa"/>
              <w:right w:w="120" w:type="dxa"/>
            </w:tcMar>
          </w:tcPr>
          <w:p w14:paraId="4BBC4BCA" w14:textId="77777777" w:rsidR="001E6242" w:rsidRPr="00C96C5F" w:rsidRDefault="001E6242" w:rsidP="00472285">
            <w:pPr>
              <w:spacing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Homolog list for MSA</w:t>
            </w:r>
          </w:p>
        </w:tc>
      </w:tr>
    </w:tbl>
    <w:p w14:paraId="51FF4650" w14:textId="77777777" w:rsidR="001E6242" w:rsidRPr="00C96C5F" w:rsidRDefault="001E6242" w:rsidP="001E6242">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4.7  Limitations</w:t>
      </w:r>
      <w:proofErr w:type="gramEnd"/>
      <w:r w:rsidRPr="00C96C5F">
        <w:rPr>
          <w:rFonts w:ascii="Times New Roman" w:hAnsi="Times New Roman" w:cs="Times New Roman"/>
          <w:b/>
          <w:bCs/>
          <w:color w:val="000000" w:themeColor="text1"/>
          <w:sz w:val="24"/>
          <w:szCs w:val="24"/>
        </w:rPr>
        <w:t xml:space="preserve"> and Challenges</w:t>
      </w:r>
    </w:p>
    <w:p w14:paraId="49395EE7" w14:textId="77777777" w:rsidR="001E6242" w:rsidRPr="00C96C5F" w:rsidRDefault="001E6242" w:rsidP="001E6242">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NCBI Limitations</w:t>
      </w:r>
    </w:p>
    <w:p w14:paraId="38FA96B7"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Data redundancy: Multiple submissions of the same sequence with inconsistent annotation</w:t>
      </w:r>
    </w:p>
    <w:p w14:paraId="0074B94F"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Quality heterogeneity: User-submitted sequences vary widely in quality and completeness</w:t>
      </w:r>
    </w:p>
    <w:p w14:paraId="18F5C279"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t>TrEMBL</w:t>
      </w:r>
      <w:proofErr w:type="spellEnd"/>
      <w:r w:rsidRPr="00C96C5F">
        <w:rPr>
          <w:rFonts w:ascii="Times New Roman" w:hAnsi="Times New Roman" w:cs="Times New Roman"/>
          <w:color w:val="000000" w:themeColor="text1"/>
          <w:sz w:val="24"/>
          <w:szCs w:val="24"/>
        </w:rPr>
        <w:t xml:space="preserve"> contamination: Protein database includes low-quality translated genomic ORFs</w:t>
      </w:r>
    </w:p>
    <w:p w14:paraId="27326D55" w14:textId="77777777" w:rsidR="001E6242" w:rsidRPr="00C96C5F" w:rsidRDefault="001E6242" w:rsidP="001E6242">
      <w:pPr>
        <w:spacing w:before="160" w:after="60" w:line="276" w:lineRule="auto"/>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b/>
          <w:bCs/>
          <w:color w:val="000000" w:themeColor="text1"/>
          <w:sz w:val="24"/>
          <w:szCs w:val="24"/>
        </w:rPr>
        <w:lastRenderedPageBreak/>
        <w:t>UniProt</w:t>
      </w:r>
      <w:proofErr w:type="spellEnd"/>
      <w:r w:rsidRPr="00C96C5F">
        <w:rPr>
          <w:rFonts w:ascii="Times New Roman" w:hAnsi="Times New Roman" w:cs="Times New Roman"/>
          <w:b/>
          <w:bCs/>
          <w:color w:val="000000" w:themeColor="text1"/>
          <w:sz w:val="24"/>
          <w:szCs w:val="24"/>
        </w:rPr>
        <w:t xml:space="preserve"> Limitations</w:t>
      </w:r>
    </w:p>
    <w:p w14:paraId="54991EE5"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Swiss-Prot curation bottleneck: Manual curation cannot keep pace with sequence data growth — less than 0.5% of all sequences are in Swiss-Prot</w:t>
      </w:r>
    </w:p>
    <w:p w14:paraId="1143248D"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Annotation propagation errors: Automated annotations in </w:t>
      </w:r>
      <w:proofErr w:type="spellStart"/>
      <w:r w:rsidRPr="00C96C5F">
        <w:rPr>
          <w:rFonts w:ascii="Times New Roman" w:hAnsi="Times New Roman" w:cs="Times New Roman"/>
          <w:color w:val="000000" w:themeColor="text1"/>
          <w:sz w:val="24"/>
          <w:szCs w:val="24"/>
        </w:rPr>
        <w:t>TrEMBL</w:t>
      </w:r>
      <w:proofErr w:type="spellEnd"/>
      <w:r w:rsidRPr="00C96C5F">
        <w:rPr>
          <w:rFonts w:ascii="Times New Roman" w:hAnsi="Times New Roman" w:cs="Times New Roman"/>
          <w:color w:val="000000" w:themeColor="text1"/>
          <w:sz w:val="24"/>
          <w:szCs w:val="24"/>
        </w:rPr>
        <w:t xml:space="preserve"> sometimes propagate incorrect functions</w:t>
      </w:r>
    </w:p>
    <w:p w14:paraId="57DDFFDA"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Limited nucleotide data: Not suitable for genomic or transcriptomic analyses</w:t>
      </w:r>
    </w:p>
    <w:p w14:paraId="7AAD24BC" w14:textId="77777777" w:rsidR="001E6242" w:rsidRPr="00C96C5F" w:rsidRDefault="001E6242" w:rsidP="001E6242">
      <w:pPr>
        <w:spacing w:before="1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t>PDB Limitations</w:t>
      </w:r>
    </w:p>
    <w:p w14:paraId="5F6738A1"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Crystallographic bias: Over-representation of stable, crystallizable proteins; membrane proteins and intrinsically disordered proteins are under-represented</w:t>
      </w:r>
    </w:p>
    <w:p w14:paraId="15F46DE7"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Static snapshots: Crystal structures capture a single conformational state; protein dynamics require NMR or MD simulation data</w:t>
      </w:r>
    </w:p>
    <w:p w14:paraId="5D290298"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Coverage gap: Despite 215,000+ structures, millions of unique proteins lack experimental structures — necessitating computational tools like AlphaFold</w:t>
      </w:r>
    </w:p>
    <w:p w14:paraId="09556C98" w14:textId="77777777" w:rsidR="001E6242" w:rsidRPr="00C96C5F" w:rsidRDefault="001E6242" w:rsidP="001E6242">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4.8  Future</w:t>
      </w:r>
      <w:proofErr w:type="gramEnd"/>
      <w:r w:rsidRPr="00C96C5F">
        <w:rPr>
          <w:rFonts w:ascii="Times New Roman" w:hAnsi="Times New Roman" w:cs="Times New Roman"/>
          <w:b/>
          <w:bCs/>
          <w:color w:val="000000" w:themeColor="text1"/>
          <w:sz w:val="24"/>
          <w:szCs w:val="24"/>
        </w:rPr>
        <w:t xml:space="preserve"> Directions</w:t>
      </w:r>
    </w:p>
    <w:p w14:paraId="2D33C1DC"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The bioinformatics database landscape is rapidly evolving:</w:t>
      </w:r>
    </w:p>
    <w:p w14:paraId="35A0E911"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AlphaFold Database: DeepMind/EMBL-EBI's AlphaFold DB now provides predicted structures for ~200 million proteins, dramatically expanding structural coverage beyond experimental PDB entries</w:t>
      </w:r>
    </w:p>
    <w:p w14:paraId="791A0A56"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proofErr w:type="spellStart"/>
      <w:r w:rsidRPr="00C96C5F">
        <w:rPr>
          <w:rFonts w:ascii="Times New Roman" w:hAnsi="Times New Roman" w:cs="Times New Roman"/>
          <w:color w:val="000000" w:themeColor="text1"/>
          <w:sz w:val="24"/>
          <w:szCs w:val="24"/>
        </w:rPr>
        <w:t>UniProt</w:t>
      </w:r>
      <w:proofErr w:type="spellEnd"/>
      <w:r w:rsidRPr="00C96C5F">
        <w:rPr>
          <w:rFonts w:ascii="Times New Roman" w:hAnsi="Times New Roman" w:cs="Times New Roman"/>
          <w:color w:val="000000" w:themeColor="text1"/>
          <w:sz w:val="24"/>
          <w:szCs w:val="24"/>
        </w:rPr>
        <w:t>-AlphaFold integration: Swiss-Prot entries now directly link to AlphaFold structures, creating a seamless sequence-to-structure pipeline</w:t>
      </w:r>
    </w:p>
    <w:p w14:paraId="770B8B49"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NCBI </w:t>
      </w:r>
      <w:proofErr w:type="spellStart"/>
      <w:r w:rsidRPr="00C96C5F">
        <w:rPr>
          <w:rFonts w:ascii="Times New Roman" w:hAnsi="Times New Roman" w:cs="Times New Roman"/>
          <w:color w:val="000000" w:themeColor="text1"/>
          <w:sz w:val="24"/>
          <w:szCs w:val="24"/>
        </w:rPr>
        <w:t>RefSeq</w:t>
      </w:r>
      <w:proofErr w:type="spellEnd"/>
      <w:r w:rsidRPr="00C96C5F">
        <w:rPr>
          <w:rFonts w:ascii="Times New Roman" w:hAnsi="Times New Roman" w:cs="Times New Roman"/>
          <w:color w:val="000000" w:themeColor="text1"/>
          <w:sz w:val="24"/>
          <w:szCs w:val="24"/>
        </w:rPr>
        <w:t xml:space="preserve"> Functional Elements: Expanding from sequences to comprehensive regulatory element annotation</w:t>
      </w:r>
    </w:p>
    <w:p w14:paraId="10EB6E14"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Federated data access: Emerging standards (e.g., GA4GH) aim to enable cross-database queries without centralized data transfer</w:t>
      </w:r>
    </w:p>
    <w:p w14:paraId="32EAA0CD" w14:textId="77777777" w:rsidR="001E6242" w:rsidRPr="00C96C5F" w:rsidRDefault="001E6242" w:rsidP="001E6242">
      <w:pPr>
        <w:pStyle w:val="ListParagraph"/>
        <w:numPr>
          <w:ilvl w:val="0"/>
          <w:numId w:val="1"/>
        </w:numPr>
        <w:spacing w:before="40" w:after="40" w:line="276" w:lineRule="auto"/>
        <w:contextualSpacing w:val="0"/>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AI-enhanced annotation: Large language models trained on protein sequences (ESM-2, </w:t>
      </w:r>
      <w:proofErr w:type="spellStart"/>
      <w:r w:rsidRPr="00C96C5F">
        <w:rPr>
          <w:rFonts w:ascii="Times New Roman" w:hAnsi="Times New Roman" w:cs="Times New Roman"/>
          <w:color w:val="000000" w:themeColor="text1"/>
          <w:sz w:val="24"/>
          <w:szCs w:val="24"/>
        </w:rPr>
        <w:t>ProtTrans</w:t>
      </w:r>
      <w:proofErr w:type="spellEnd"/>
      <w:r w:rsidRPr="00C96C5F">
        <w:rPr>
          <w:rFonts w:ascii="Times New Roman" w:hAnsi="Times New Roman" w:cs="Times New Roman"/>
          <w:color w:val="000000" w:themeColor="text1"/>
          <w:sz w:val="24"/>
          <w:szCs w:val="24"/>
        </w:rPr>
        <w:t>) are being integrated into automated annotation pipelines</w:t>
      </w:r>
    </w:p>
    <w:p w14:paraId="6E27A067" w14:textId="77777777" w:rsidR="001E6242" w:rsidRPr="00C96C5F" w:rsidRDefault="001E6242" w:rsidP="001E6242">
      <w:pPr>
        <w:pStyle w:val="Heading2"/>
        <w:spacing w:line="276" w:lineRule="auto"/>
        <w:jc w:val="both"/>
        <w:rPr>
          <w:rFonts w:ascii="Times New Roman" w:hAnsi="Times New Roman" w:cs="Times New Roman"/>
          <w:color w:val="000000" w:themeColor="text1"/>
          <w:sz w:val="24"/>
          <w:szCs w:val="24"/>
        </w:rPr>
      </w:pPr>
      <w:proofErr w:type="gramStart"/>
      <w:r w:rsidRPr="00C96C5F">
        <w:rPr>
          <w:rFonts w:ascii="Times New Roman" w:hAnsi="Times New Roman" w:cs="Times New Roman"/>
          <w:b/>
          <w:bCs/>
          <w:color w:val="000000" w:themeColor="text1"/>
          <w:sz w:val="24"/>
          <w:szCs w:val="24"/>
        </w:rPr>
        <w:t>4.9  Conclusion</w:t>
      </w:r>
      <w:proofErr w:type="gramEnd"/>
    </w:p>
    <w:p w14:paraId="014177A6"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NCBI, </w:t>
      </w:r>
      <w:proofErr w:type="spellStart"/>
      <w:r w:rsidRPr="00C96C5F">
        <w:rPr>
          <w:rFonts w:ascii="Times New Roman" w:hAnsi="Times New Roman" w:cs="Times New Roman"/>
          <w:color w:val="000000" w:themeColor="text1"/>
          <w:sz w:val="24"/>
          <w:szCs w:val="24"/>
        </w:rPr>
        <w:t>UniProt</w:t>
      </w:r>
      <w:proofErr w:type="spellEnd"/>
      <w:r w:rsidRPr="00C96C5F">
        <w:rPr>
          <w:rFonts w:ascii="Times New Roman" w:hAnsi="Times New Roman" w:cs="Times New Roman"/>
          <w:color w:val="000000" w:themeColor="text1"/>
          <w:sz w:val="24"/>
          <w:szCs w:val="24"/>
        </w:rPr>
        <w:t xml:space="preserve">, and PDB represent complementary pillars of the bioinformatics data ecosystem. NCBI excels in breadth, providing a comprehensive portal to biological sequences and literature. </w:t>
      </w:r>
      <w:proofErr w:type="spellStart"/>
      <w:r w:rsidRPr="00C96C5F">
        <w:rPr>
          <w:rFonts w:ascii="Times New Roman" w:hAnsi="Times New Roman" w:cs="Times New Roman"/>
          <w:color w:val="000000" w:themeColor="text1"/>
          <w:sz w:val="24"/>
          <w:szCs w:val="24"/>
        </w:rPr>
        <w:t>UniProt</w:t>
      </w:r>
      <w:proofErr w:type="spellEnd"/>
      <w:r w:rsidRPr="00C96C5F">
        <w:rPr>
          <w:rFonts w:ascii="Times New Roman" w:hAnsi="Times New Roman" w:cs="Times New Roman"/>
          <w:color w:val="000000" w:themeColor="text1"/>
          <w:sz w:val="24"/>
          <w:szCs w:val="24"/>
        </w:rPr>
        <w:t xml:space="preserve"> provides the deepest, most reliable protein functional annotation through its manually curated Swiss-Prot component. PDB offers unparalleled 3D structural detail essential for mechanistic understanding and drug discovery. Together, these databases form an integrated infrastructure that underpins virtually all modern molecular biology research — from basic mechanistic studies to clinical genomics and structure-based pharmaceutical development. Researchers are strongly encouraged to cross-reference all three databases for comprehensive, high-confidence biological insights.</w:t>
      </w:r>
    </w:p>
    <w:p w14:paraId="4797C1E5" w14:textId="77777777" w:rsidR="001E6242" w:rsidRDefault="001E6242" w:rsidP="001E6242">
      <w:pPr>
        <w:spacing w:before="100" w:after="100" w:line="276" w:lineRule="auto"/>
        <w:jc w:val="both"/>
        <w:rPr>
          <w:rFonts w:ascii="Times New Roman" w:hAnsi="Times New Roman" w:cs="Times New Roman"/>
          <w:color w:val="000000" w:themeColor="text1"/>
          <w:sz w:val="24"/>
          <w:szCs w:val="24"/>
        </w:rPr>
      </w:pPr>
    </w:p>
    <w:p w14:paraId="378CC232" w14:textId="77777777" w:rsidR="001E6242" w:rsidRPr="00C96C5F" w:rsidRDefault="001E6242" w:rsidP="001E6242">
      <w:pPr>
        <w:spacing w:before="100" w:after="100" w:line="276" w:lineRule="auto"/>
        <w:jc w:val="both"/>
        <w:rPr>
          <w:rFonts w:ascii="Times New Roman" w:hAnsi="Times New Roman" w:cs="Times New Roman"/>
          <w:color w:val="000000" w:themeColor="text1"/>
          <w:sz w:val="24"/>
          <w:szCs w:val="24"/>
        </w:rPr>
      </w:pPr>
    </w:p>
    <w:p w14:paraId="23F63693" w14:textId="77777777" w:rsidR="001E6242" w:rsidRPr="00C96C5F" w:rsidRDefault="001E6242" w:rsidP="001E6242">
      <w:pPr>
        <w:pBdr>
          <w:bottom w:val="single" w:sz="4" w:space="1" w:color="2B5FA6"/>
        </w:pBdr>
        <w:spacing w:before="360" w:after="12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b/>
          <w:bCs/>
          <w:color w:val="000000" w:themeColor="text1"/>
          <w:sz w:val="24"/>
          <w:szCs w:val="24"/>
        </w:rPr>
        <w:lastRenderedPageBreak/>
        <w:t>References</w:t>
      </w:r>
    </w:p>
    <w:p w14:paraId="3798762D"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1. Altschul SF, Gish W, Miller W, Myers EW, Lipman DJ. (1990). Basic local alignment search tool. Journal of Molecular Biology, 215(3), 403–410.</w:t>
      </w:r>
    </w:p>
    <w:p w14:paraId="6EFA6ED7"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2. The </w:t>
      </w:r>
      <w:proofErr w:type="spellStart"/>
      <w:r w:rsidRPr="00C96C5F">
        <w:rPr>
          <w:rFonts w:ascii="Times New Roman" w:hAnsi="Times New Roman" w:cs="Times New Roman"/>
          <w:color w:val="000000" w:themeColor="text1"/>
          <w:sz w:val="24"/>
          <w:szCs w:val="24"/>
        </w:rPr>
        <w:t>UniProt</w:t>
      </w:r>
      <w:proofErr w:type="spellEnd"/>
      <w:r w:rsidRPr="00C96C5F">
        <w:rPr>
          <w:rFonts w:ascii="Times New Roman" w:hAnsi="Times New Roman" w:cs="Times New Roman"/>
          <w:color w:val="000000" w:themeColor="text1"/>
          <w:sz w:val="24"/>
          <w:szCs w:val="24"/>
        </w:rPr>
        <w:t xml:space="preserve"> Consortium. (2023). </w:t>
      </w:r>
      <w:proofErr w:type="spellStart"/>
      <w:r w:rsidRPr="00C96C5F">
        <w:rPr>
          <w:rFonts w:ascii="Times New Roman" w:hAnsi="Times New Roman" w:cs="Times New Roman"/>
          <w:color w:val="000000" w:themeColor="text1"/>
          <w:sz w:val="24"/>
          <w:szCs w:val="24"/>
        </w:rPr>
        <w:t>UniProt</w:t>
      </w:r>
      <w:proofErr w:type="spellEnd"/>
      <w:r w:rsidRPr="00C96C5F">
        <w:rPr>
          <w:rFonts w:ascii="Times New Roman" w:hAnsi="Times New Roman" w:cs="Times New Roman"/>
          <w:color w:val="000000" w:themeColor="text1"/>
          <w:sz w:val="24"/>
          <w:szCs w:val="24"/>
        </w:rPr>
        <w:t>: the Universal Protein Knowledgebase in 2023. Nucleic Acids Research, 51(D1), D523–D531.</w:t>
      </w:r>
    </w:p>
    <w:p w14:paraId="187B2DC9"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3. Berman HM, et al. (2000). The Protein Data Bank. Nucleic Acids Research, 28(1), 235–242.</w:t>
      </w:r>
    </w:p>
    <w:p w14:paraId="48983F47"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4. Jumper J, et al. (2021). Highly accurate protein structure prediction with AlphaFold. Nature, 596, 583–589.</w:t>
      </w:r>
    </w:p>
    <w:p w14:paraId="13C056AB"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5. Sievers F, Higgins DG. (2018). </w:t>
      </w:r>
      <w:proofErr w:type="spellStart"/>
      <w:r w:rsidRPr="00C96C5F">
        <w:rPr>
          <w:rFonts w:ascii="Times New Roman" w:hAnsi="Times New Roman" w:cs="Times New Roman"/>
          <w:color w:val="000000" w:themeColor="text1"/>
          <w:sz w:val="24"/>
          <w:szCs w:val="24"/>
        </w:rPr>
        <w:t>Clustal</w:t>
      </w:r>
      <w:proofErr w:type="spellEnd"/>
      <w:r w:rsidRPr="00C96C5F">
        <w:rPr>
          <w:rFonts w:ascii="Times New Roman" w:hAnsi="Times New Roman" w:cs="Times New Roman"/>
          <w:color w:val="000000" w:themeColor="text1"/>
          <w:sz w:val="24"/>
          <w:szCs w:val="24"/>
        </w:rPr>
        <w:t xml:space="preserve"> Omega for making accurate alignments of many protein sequences. Protein Science, 27(1), 135–145.</w:t>
      </w:r>
    </w:p>
    <w:p w14:paraId="54C9A9B9"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6. Sayers EW, et al. (2022). Database resources of the National </w:t>
      </w:r>
      <w:proofErr w:type="spellStart"/>
      <w:r w:rsidRPr="00C96C5F">
        <w:rPr>
          <w:rFonts w:ascii="Times New Roman" w:hAnsi="Times New Roman" w:cs="Times New Roman"/>
          <w:color w:val="000000" w:themeColor="text1"/>
          <w:sz w:val="24"/>
          <w:szCs w:val="24"/>
        </w:rPr>
        <w:t>Center</w:t>
      </w:r>
      <w:proofErr w:type="spellEnd"/>
      <w:r w:rsidRPr="00C96C5F">
        <w:rPr>
          <w:rFonts w:ascii="Times New Roman" w:hAnsi="Times New Roman" w:cs="Times New Roman"/>
          <w:color w:val="000000" w:themeColor="text1"/>
          <w:sz w:val="24"/>
          <w:szCs w:val="24"/>
        </w:rPr>
        <w:t xml:space="preserve"> for Biotechnology Information. Nucleic Acids Research, 50(D1), D20–D26.</w:t>
      </w:r>
    </w:p>
    <w:p w14:paraId="5781029C"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 xml:space="preserve">7. Laskowski RA, </w:t>
      </w:r>
      <w:proofErr w:type="spellStart"/>
      <w:r w:rsidRPr="00C96C5F">
        <w:rPr>
          <w:rFonts w:ascii="Times New Roman" w:hAnsi="Times New Roman" w:cs="Times New Roman"/>
          <w:color w:val="000000" w:themeColor="text1"/>
          <w:sz w:val="24"/>
          <w:szCs w:val="24"/>
        </w:rPr>
        <w:t>Jabłońska</w:t>
      </w:r>
      <w:proofErr w:type="spellEnd"/>
      <w:r w:rsidRPr="00C96C5F">
        <w:rPr>
          <w:rFonts w:ascii="Times New Roman" w:hAnsi="Times New Roman" w:cs="Times New Roman"/>
          <w:color w:val="000000" w:themeColor="text1"/>
          <w:sz w:val="24"/>
          <w:szCs w:val="24"/>
        </w:rPr>
        <w:t xml:space="preserve"> J, Pravda L, </w:t>
      </w:r>
      <w:proofErr w:type="spellStart"/>
      <w:r w:rsidRPr="00C96C5F">
        <w:rPr>
          <w:rFonts w:ascii="Times New Roman" w:hAnsi="Times New Roman" w:cs="Times New Roman"/>
          <w:color w:val="000000" w:themeColor="text1"/>
          <w:sz w:val="24"/>
          <w:szCs w:val="24"/>
        </w:rPr>
        <w:t>Vařeková</w:t>
      </w:r>
      <w:proofErr w:type="spellEnd"/>
      <w:r w:rsidRPr="00C96C5F">
        <w:rPr>
          <w:rFonts w:ascii="Times New Roman" w:hAnsi="Times New Roman" w:cs="Times New Roman"/>
          <w:color w:val="000000" w:themeColor="text1"/>
          <w:sz w:val="24"/>
          <w:szCs w:val="24"/>
        </w:rPr>
        <w:t xml:space="preserve"> RS, Thornton JM. (2018). </w:t>
      </w:r>
      <w:proofErr w:type="spellStart"/>
      <w:r w:rsidRPr="00C96C5F">
        <w:rPr>
          <w:rFonts w:ascii="Times New Roman" w:hAnsi="Times New Roman" w:cs="Times New Roman"/>
          <w:color w:val="000000" w:themeColor="text1"/>
          <w:sz w:val="24"/>
          <w:szCs w:val="24"/>
        </w:rPr>
        <w:t>PDBsum</w:t>
      </w:r>
      <w:proofErr w:type="spellEnd"/>
      <w:r w:rsidRPr="00C96C5F">
        <w:rPr>
          <w:rFonts w:ascii="Times New Roman" w:hAnsi="Times New Roman" w:cs="Times New Roman"/>
          <w:color w:val="000000" w:themeColor="text1"/>
          <w:sz w:val="24"/>
          <w:szCs w:val="24"/>
        </w:rPr>
        <w:t>: Structural summaries of PDB entries. Protein Science, 27(1), 129–134.</w:t>
      </w:r>
    </w:p>
    <w:p w14:paraId="0B4E03CD" w14:textId="77777777" w:rsidR="001E6242" w:rsidRPr="00C96C5F" w:rsidRDefault="001E6242" w:rsidP="001E6242">
      <w:pPr>
        <w:spacing w:before="60" w:after="60" w:line="276" w:lineRule="auto"/>
        <w:jc w:val="both"/>
        <w:rPr>
          <w:rFonts w:ascii="Times New Roman" w:hAnsi="Times New Roman" w:cs="Times New Roman"/>
          <w:color w:val="000000" w:themeColor="text1"/>
          <w:sz w:val="24"/>
          <w:szCs w:val="24"/>
        </w:rPr>
      </w:pPr>
      <w:r w:rsidRPr="00C96C5F">
        <w:rPr>
          <w:rFonts w:ascii="Times New Roman" w:hAnsi="Times New Roman" w:cs="Times New Roman"/>
          <w:color w:val="000000" w:themeColor="text1"/>
          <w:sz w:val="24"/>
          <w:szCs w:val="24"/>
        </w:rPr>
        <w:t>8. Edgar RC. (2004). MUSCLE: multiple sequence alignment with high accuracy and high throughput. Nucleic Acids Research, 32(5), 1792–1797.</w:t>
      </w:r>
    </w:p>
    <w:p w14:paraId="47FC5157" w14:textId="77777777" w:rsidR="007774F6" w:rsidRDefault="007774F6"/>
    <w:sectPr w:rsidR="00777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63B2C"/>
    <w:multiLevelType w:val="hybridMultilevel"/>
    <w:tmpl w:val="7C48334E"/>
    <w:lvl w:ilvl="0" w:tplc="C958E952">
      <w:start w:val="1"/>
      <w:numFmt w:val="bullet"/>
      <w:lvlText w:val="•"/>
      <w:lvlJc w:val="left"/>
      <w:pPr>
        <w:ind w:left="720" w:hanging="360"/>
      </w:pPr>
    </w:lvl>
    <w:lvl w:ilvl="1" w:tplc="6AFE2E24">
      <w:numFmt w:val="decimal"/>
      <w:lvlText w:val=""/>
      <w:lvlJc w:val="left"/>
    </w:lvl>
    <w:lvl w:ilvl="2" w:tplc="7512B59E">
      <w:numFmt w:val="decimal"/>
      <w:lvlText w:val=""/>
      <w:lvlJc w:val="left"/>
    </w:lvl>
    <w:lvl w:ilvl="3" w:tplc="08B45530">
      <w:numFmt w:val="decimal"/>
      <w:lvlText w:val=""/>
      <w:lvlJc w:val="left"/>
    </w:lvl>
    <w:lvl w:ilvl="4" w:tplc="94063E9E">
      <w:numFmt w:val="decimal"/>
      <w:lvlText w:val=""/>
      <w:lvlJc w:val="left"/>
    </w:lvl>
    <w:lvl w:ilvl="5" w:tplc="B9F6C7C2">
      <w:numFmt w:val="decimal"/>
      <w:lvlText w:val=""/>
      <w:lvlJc w:val="left"/>
    </w:lvl>
    <w:lvl w:ilvl="6" w:tplc="0E38C0BA">
      <w:numFmt w:val="decimal"/>
      <w:lvlText w:val=""/>
      <w:lvlJc w:val="left"/>
    </w:lvl>
    <w:lvl w:ilvl="7" w:tplc="31829714">
      <w:numFmt w:val="decimal"/>
      <w:lvlText w:val=""/>
      <w:lvlJc w:val="left"/>
    </w:lvl>
    <w:lvl w:ilvl="8" w:tplc="78665604">
      <w:numFmt w:val="decimal"/>
      <w:lvlText w:val=""/>
      <w:lvlJc w:val="left"/>
    </w:lvl>
  </w:abstractNum>
  <w:num w:numId="1" w16cid:durableId="1192567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42"/>
    <w:rsid w:val="001E6242"/>
    <w:rsid w:val="003101D1"/>
    <w:rsid w:val="00323D4A"/>
    <w:rsid w:val="007774F6"/>
    <w:rsid w:val="00FC7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FF3B5"/>
  <w15:chartTrackingRefBased/>
  <w15:docId w15:val="{8986557E-7C41-436D-B56A-02D3ED01F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242"/>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1E6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6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2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2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2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2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6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242"/>
    <w:rPr>
      <w:rFonts w:eastAsiaTheme="majorEastAsia" w:cstheme="majorBidi"/>
      <w:color w:val="272727" w:themeColor="text1" w:themeTint="D8"/>
    </w:rPr>
  </w:style>
  <w:style w:type="paragraph" w:styleId="Title">
    <w:name w:val="Title"/>
    <w:basedOn w:val="Normal"/>
    <w:next w:val="Normal"/>
    <w:link w:val="TitleChar"/>
    <w:uiPriority w:val="10"/>
    <w:qFormat/>
    <w:rsid w:val="001E62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242"/>
    <w:pPr>
      <w:spacing w:before="160"/>
      <w:jc w:val="center"/>
    </w:pPr>
    <w:rPr>
      <w:i/>
      <w:iCs/>
      <w:color w:val="404040" w:themeColor="text1" w:themeTint="BF"/>
    </w:rPr>
  </w:style>
  <w:style w:type="character" w:customStyle="1" w:styleId="QuoteChar">
    <w:name w:val="Quote Char"/>
    <w:basedOn w:val="DefaultParagraphFont"/>
    <w:link w:val="Quote"/>
    <w:uiPriority w:val="29"/>
    <w:rsid w:val="001E6242"/>
    <w:rPr>
      <w:i/>
      <w:iCs/>
      <w:color w:val="404040" w:themeColor="text1" w:themeTint="BF"/>
    </w:rPr>
  </w:style>
  <w:style w:type="paragraph" w:styleId="ListParagraph">
    <w:name w:val="List Paragraph"/>
    <w:basedOn w:val="Normal"/>
    <w:qFormat/>
    <w:rsid w:val="001E6242"/>
    <w:pPr>
      <w:ind w:left="720"/>
      <w:contextualSpacing/>
    </w:pPr>
  </w:style>
  <w:style w:type="character" w:styleId="IntenseEmphasis">
    <w:name w:val="Intense Emphasis"/>
    <w:basedOn w:val="DefaultParagraphFont"/>
    <w:uiPriority w:val="21"/>
    <w:qFormat/>
    <w:rsid w:val="001E6242"/>
    <w:rPr>
      <w:i/>
      <w:iCs/>
      <w:color w:val="0F4761" w:themeColor="accent1" w:themeShade="BF"/>
    </w:rPr>
  </w:style>
  <w:style w:type="paragraph" w:styleId="IntenseQuote">
    <w:name w:val="Intense Quote"/>
    <w:basedOn w:val="Normal"/>
    <w:next w:val="Normal"/>
    <w:link w:val="IntenseQuoteChar"/>
    <w:uiPriority w:val="30"/>
    <w:qFormat/>
    <w:rsid w:val="001E6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242"/>
    <w:rPr>
      <w:i/>
      <w:iCs/>
      <w:color w:val="0F4761" w:themeColor="accent1" w:themeShade="BF"/>
    </w:rPr>
  </w:style>
  <w:style w:type="character" w:styleId="IntenseReference">
    <w:name w:val="Intense Reference"/>
    <w:basedOn w:val="DefaultParagraphFont"/>
    <w:uiPriority w:val="32"/>
    <w:qFormat/>
    <w:rsid w:val="001E62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1804</Words>
  <Characters>10287</Characters>
  <Application>Microsoft Office Word</Application>
  <DocSecurity>0</DocSecurity>
  <Lines>85</Lines>
  <Paragraphs>24</Paragraphs>
  <ScaleCrop>false</ScaleCrop>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Avanthy Sumi</dc:creator>
  <cp:keywords/>
  <dc:description/>
  <cp:lastModifiedBy>Avanthy Sumi</cp:lastModifiedBy>
  <cp:revision>1</cp:revision>
  <dcterms:created xsi:type="dcterms:W3CDTF">2026-06-10T15:42:00Z</dcterms:created>
  <dcterms:modified xsi:type="dcterms:W3CDTF">2026-06-10T15:42:00Z</dcterms:modified>
</cp:coreProperties>
</file>