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CellMar>
          <w:left w:w="10" w:type="dxa"/>
          <w:right w:w="10" w:type="dxa"/>
        </w:tblCellMar>
        <w:tblLook w:val="0000" w:firstRow="0" w:lastRow="0" w:firstColumn="0" w:lastColumn="0" w:noHBand="0" w:noVBand="0"/>
      </w:tblPr>
      <w:tblGrid>
        <w:gridCol w:w="9360"/>
      </w:tblGrid>
      <w:tr w:rsidR="00C96C5F" w:rsidRPr="00C96C5F" w14:paraId="622CB7CA" w14:textId="77777777" w:rsidTr="00C96C5F">
        <w:tblPrEx>
          <w:tblCellMar>
            <w:top w:w="0" w:type="dxa"/>
            <w:bottom w:w="0" w:type="dxa"/>
          </w:tblCellMar>
        </w:tblPrEx>
        <w:tc>
          <w:tcPr>
            <w:tcW w:w="9360" w:type="dxa"/>
            <w:shd w:val="clear" w:color="auto" w:fill="FFFFFF" w:themeFill="background1"/>
            <w:tcMar>
              <w:top w:w="120" w:type="dxa"/>
              <w:left w:w="200" w:type="dxa"/>
              <w:bottom w:w="120" w:type="dxa"/>
              <w:right w:w="200" w:type="dxa"/>
            </w:tcMar>
          </w:tcPr>
          <w:p w14:paraId="1DF52F85" w14:textId="77777777" w:rsidR="00C96C5F" w:rsidRPr="00C96C5F" w:rsidRDefault="00C96C5F" w:rsidP="00C96C5F">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b/>
                <w:bCs/>
                <w:color w:val="000000" w:themeColor="text1"/>
                <w:sz w:val="24"/>
                <w:szCs w:val="24"/>
              </w:rPr>
              <w:t>TASK 2: Multiple Sequence Alignment (MSA)</w:t>
            </w:r>
          </w:p>
        </w:tc>
      </w:tr>
    </w:tbl>
    <w:p w14:paraId="68939C3E" w14:textId="77777777" w:rsidR="00C96C5F" w:rsidRPr="00C96C5F" w:rsidRDefault="00C96C5F" w:rsidP="00C96C5F">
      <w:pPr>
        <w:spacing w:before="100" w:after="100" w:line="276" w:lineRule="auto"/>
        <w:jc w:val="both"/>
        <w:rPr>
          <w:rFonts w:ascii="Times New Roman" w:hAnsi="Times New Roman" w:cs="Times New Roman"/>
          <w:color w:val="000000" w:themeColor="text1"/>
          <w:sz w:val="24"/>
          <w:szCs w:val="24"/>
        </w:rPr>
      </w:pPr>
    </w:p>
    <w:p w14:paraId="01DDEAE4" w14:textId="77777777" w:rsidR="00C96C5F" w:rsidRPr="00C96C5F" w:rsidRDefault="00C96C5F" w:rsidP="00C96C5F">
      <w:pPr>
        <w:pStyle w:val="Heading2"/>
        <w:spacing w:line="276" w:lineRule="auto"/>
        <w:jc w:val="both"/>
        <w:rPr>
          <w:rFonts w:ascii="Times New Roman" w:hAnsi="Times New Roman" w:cs="Times New Roman"/>
          <w:color w:val="000000" w:themeColor="text1"/>
          <w:sz w:val="24"/>
          <w:szCs w:val="24"/>
        </w:rPr>
      </w:pPr>
      <w:proofErr w:type="gramStart"/>
      <w:r w:rsidRPr="00C96C5F">
        <w:rPr>
          <w:rFonts w:ascii="Times New Roman" w:hAnsi="Times New Roman" w:cs="Times New Roman"/>
          <w:b/>
          <w:bCs/>
          <w:color w:val="000000" w:themeColor="text1"/>
          <w:sz w:val="24"/>
          <w:szCs w:val="24"/>
        </w:rPr>
        <w:t>2.1  Objective</w:t>
      </w:r>
      <w:proofErr w:type="gramEnd"/>
    </w:p>
    <w:p w14:paraId="3988E3AD" w14:textId="77777777" w:rsidR="00C96C5F" w:rsidRPr="00C96C5F" w:rsidRDefault="00C96C5F" w:rsidP="00C96C5F">
      <w:pPr>
        <w:spacing w:before="60" w:after="60"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To perform Multiple Sequence Alignment (MSA) on at least five protein sequences from the same family, identify conserved regions and motifs, and interpret the functional significance of these conserved elements.</w:t>
      </w:r>
    </w:p>
    <w:p w14:paraId="53933C31" w14:textId="77777777" w:rsidR="00C96C5F" w:rsidRPr="00C96C5F" w:rsidRDefault="00C96C5F" w:rsidP="00C96C5F">
      <w:pPr>
        <w:pStyle w:val="Heading2"/>
        <w:spacing w:line="276" w:lineRule="auto"/>
        <w:jc w:val="both"/>
        <w:rPr>
          <w:rFonts w:ascii="Times New Roman" w:hAnsi="Times New Roman" w:cs="Times New Roman"/>
          <w:color w:val="000000" w:themeColor="text1"/>
          <w:sz w:val="24"/>
          <w:szCs w:val="24"/>
        </w:rPr>
      </w:pPr>
      <w:proofErr w:type="gramStart"/>
      <w:r w:rsidRPr="00C96C5F">
        <w:rPr>
          <w:rFonts w:ascii="Times New Roman" w:hAnsi="Times New Roman" w:cs="Times New Roman"/>
          <w:b/>
          <w:bCs/>
          <w:color w:val="000000" w:themeColor="text1"/>
          <w:sz w:val="24"/>
          <w:szCs w:val="24"/>
        </w:rPr>
        <w:t>2.2  Protein</w:t>
      </w:r>
      <w:proofErr w:type="gramEnd"/>
      <w:r w:rsidRPr="00C96C5F">
        <w:rPr>
          <w:rFonts w:ascii="Times New Roman" w:hAnsi="Times New Roman" w:cs="Times New Roman"/>
          <w:b/>
          <w:bCs/>
          <w:color w:val="000000" w:themeColor="text1"/>
          <w:sz w:val="24"/>
          <w:szCs w:val="24"/>
        </w:rPr>
        <w:t xml:space="preserve"> Family Selection: Cytochrome P450 (CYP) Family</w:t>
      </w:r>
    </w:p>
    <w:p w14:paraId="5278F433" w14:textId="77777777" w:rsidR="00C96C5F" w:rsidRPr="00C96C5F" w:rsidRDefault="00C96C5F" w:rsidP="00C96C5F">
      <w:pPr>
        <w:spacing w:before="60" w:after="60"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 xml:space="preserve">The Cytochrome P450 superfamily was selected for this analysis. CYP enzymes are </w:t>
      </w:r>
      <w:proofErr w:type="spellStart"/>
      <w:r w:rsidRPr="00C96C5F">
        <w:rPr>
          <w:rFonts w:ascii="Times New Roman" w:hAnsi="Times New Roman" w:cs="Times New Roman"/>
          <w:color w:val="000000" w:themeColor="text1"/>
          <w:sz w:val="24"/>
          <w:szCs w:val="24"/>
        </w:rPr>
        <w:t>heme</w:t>
      </w:r>
      <w:proofErr w:type="spellEnd"/>
      <w:r w:rsidRPr="00C96C5F">
        <w:rPr>
          <w:rFonts w:ascii="Times New Roman" w:hAnsi="Times New Roman" w:cs="Times New Roman"/>
          <w:color w:val="000000" w:themeColor="text1"/>
          <w:sz w:val="24"/>
          <w:szCs w:val="24"/>
        </w:rPr>
        <w:t>-containing monooxygenases involved in the metabolism of endogenous and exogenous compounds. This family was chosen due to its broad distribution across all kingdoms of life, significant pharmaceutical relevance (drug metabolism), and well-characterized conserved structural motifs.</w:t>
      </w:r>
    </w:p>
    <w:p w14:paraId="053D1E8D" w14:textId="77777777" w:rsidR="00C96C5F" w:rsidRPr="00C96C5F" w:rsidRDefault="00C96C5F" w:rsidP="00C96C5F">
      <w:pPr>
        <w:spacing w:before="100" w:after="100" w:line="276" w:lineRule="auto"/>
        <w:jc w:val="both"/>
        <w:rPr>
          <w:rFonts w:ascii="Times New Roman" w:hAnsi="Times New Roman" w:cs="Times New Roman"/>
          <w:color w:val="000000" w:themeColor="text1"/>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872"/>
        <w:gridCol w:w="1872"/>
        <w:gridCol w:w="1872"/>
        <w:gridCol w:w="1872"/>
        <w:gridCol w:w="1872"/>
      </w:tblGrid>
      <w:tr w:rsidR="00C96C5F" w:rsidRPr="00C96C5F" w14:paraId="186B7BA0" w14:textId="77777777" w:rsidTr="00C96C5F">
        <w:tblPrEx>
          <w:tblCellMar>
            <w:top w:w="0" w:type="dxa"/>
            <w:bottom w:w="0" w:type="dxa"/>
          </w:tblCellMar>
        </w:tblPrEx>
        <w:tc>
          <w:tcPr>
            <w:tcW w:w="1872" w:type="dxa"/>
            <w:shd w:val="clear" w:color="auto" w:fill="FFFFFF" w:themeFill="background1"/>
            <w:tcMar>
              <w:top w:w="80" w:type="dxa"/>
              <w:left w:w="120" w:type="dxa"/>
              <w:bottom w:w="80" w:type="dxa"/>
              <w:right w:w="120" w:type="dxa"/>
            </w:tcMar>
          </w:tcPr>
          <w:p w14:paraId="14C9A86B" w14:textId="77777777" w:rsidR="00C96C5F" w:rsidRPr="00C96C5F" w:rsidRDefault="00C96C5F" w:rsidP="00C96C5F">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b/>
                <w:bCs/>
                <w:color w:val="000000" w:themeColor="text1"/>
                <w:sz w:val="24"/>
                <w:szCs w:val="24"/>
              </w:rPr>
              <w:t>Sequence ID</w:t>
            </w:r>
          </w:p>
        </w:tc>
        <w:tc>
          <w:tcPr>
            <w:tcW w:w="1872" w:type="dxa"/>
            <w:shd w:val="clear" w:color="auto" w:fill="FFFFFF" w:themeFill="background1"/>
            <w:tcMar>
              <w:top w:w="80" w:type="dxa"/>
              <w:left w:w="120" w:type="dxa"/>
              <w:bottom w:w="80" w:type="dxa"/>
              <w:right w:w="120" w:type="dxa"/>
            </w:tcMar>
          </w:tcPr>
          <w:p w14:paraId="174ED642" w14:textId="77777777" w:rsidR="00C96C5F" w:rsidRPr="00C96C5F" w:rsidRDefault="00C96C5F" w:rsidP="00C96C5F">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b/>
                <w:bCs/>
                <w:color w:val="000000" w:themeColor="text1"/>
                <w:sz w:val="24"/>
                <w:szCs w:val="24"/>
              </w:rPr>
              <w:t>Protein Name</w:t>
            </w:r>
          </w:p>
        </w:tc>
        <w:tc>
          <w:tcPr>
            <w:tcW w:w="1872" w:type="dxa"/>
            <w:shd w:val="clear" w:color="auto" w:fill="FFFFFF" w:themeFill="background1"/>
            <w:tcMar>
              <w:top w:w="80" w:type="dxa"/>
              <w:left w:w="120" w:type="dxa"/>
              <w:bottom w:w="80" w:type="dxa"/>
              <w:right w:w="120" w:type="dxa"/>
            </w:tcMar>
          </w:tcPr>
          <w:p w14:paraId="467E5D18" w14:textId="77777777" w:rsidR="00C96C5F" w:rsidRPr="00C96C5F" w:rsidRDefault="00C96C5F" w:rsidP="00C96C5F">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b/>
                <w:bCs/>
                <w:color w:val="000000" w:themeColor="text1"/>
                <w:sz w:val="24"/>
                <w:szCs w:val="24"/>
              </w:rPr>
              <w:t>Organism</w:t>
            </w:r>
          </w:p>
        </w:tc>
        <w:tc>
          <w:tcPr>
            <w:tcW w:w="1872" w:type="dxa"/>
            <w:shd w:val="clear" w:color="auto" w:fill="FFFFFF" w:themeFill="background1"/>
            <w:tcMar>
              <w:top w:w="80" w:type="dxa"/>
              <w:left w:w="120" w:type="dxa"/>
              <w:bottom w:w="80" w:type="dxa"/>
              <w:right w:w="120" w:type="dxa"/>
            </w:tcMar>
          </w:tcPr>
          <w:p w14:paraId="78C6479E" w14:textId="77777777" w:rsidR="00C96C5F" w:rsidRPr="00C96C5F" w:rsidRDefault="00C96C5F" w:rsidP="00C96C5F">
            <w:pPr>
              <w:spacing w:line="276" w:lineRule="auto"/>
              <w:jc w:val="both"/>
              <w:rPr>
                <w:rFonts w:ascii="Times New Roman" w:hAnsi="Times New Roman" w:cs="Times New Roman"/>
                <w:color w:val="000000" w:themeColor="text1"/>
                <w:sz w:val="24"/>
                <w:szCs w:val="24"/>
              </w:rPr>
            </w:pPr>
            <w:proofErr w:type="spellStart"/>
            <w:r w:rsidRPr="00C96C5F">
              <w:rPr>
                <w:rFonts w:ascii="Times New Roman" w:hAnsi="Times New Roman" w:cs="Times New Roman"/>
                <w:b/>
                <w:bCs/>
                <w:color w:val="000000" w:themeColor="text1"/>
                <w:sz w:val="24"/>
                <w:szCs w:val="24"/>
              </w:rPr>
              <w:t>UniProt</w:t>
            </w:r>
            <w:proofErr w:type="spellEnd"/>
            <w:r w:rsidRPr="00C96C5F">
              <w:rPr>
                <w:rFonts w:ascii="Times New Roman" w:hAnsi="Times New Roman" w:cs="Times New Roman"/>
                <w:b/>
                <w:bCs/>
                <w:color w:val="000000" w:themeColor="text1"/>
                <w:sz w:val="24"/>
                <w:szCs w:val="24"/>
              </w:rPr>
              <w:t xml:space="preserve"> ID</w:t>
            </w:r>
          </w:p>
        </w:tc>
        <w:tc>
          <w:tcPr>
            <w:tcW w:w="1872" w:type="dxa"/>
            <w:shd w:val="clear" w:color="auto" w:fill="FFFFFF" w:themeFill="background1"/>
            <w:tcMar>
              <w:top w:w="80" w:type="dxa"/>
              <w:left w:w="120" w:type="dxa"/>
              <w:bottom w:w="80" w:type="dxa"/>
              <w:right w:w="120" w:type="dxa"/>
            </w:tcMar>
          </w:tcPr>
          <w:p w14:paraId="69B679CC" w14:textId="77777777" w:rsidR="00C96C5F" w:rsidRPr="00C96C5F" w:rsidRDefault="00C96C5F" w:rsidP="00C96C5F">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b/>
                <w:bCs/>
                <w:color w:val="000000" w:themeColor="text1"/>
                <w:sz w:val="24"/>
                <w:szCs w:val="24"/>
              </w:rPr>
              <w:t>Length (AA)</w:t>
            </w:r>
          </w:p>
        </w:tc>
      </w:tr>
      <w:tr w:rsidR="00C96C5F" w:rsidRPr="00C96C5F" w14:paraId="7B7B772A" w14:textId="77777777" w:rsidTr="00C96C5F">
        <w:tblPrEx>
          <w:tblCellMar>
            <w:top w:w="0" w:type="dxa"/>
            <w:bottom w:w="0" w:type="dxa"/>
          </w:tblCellMar>
        </w:tblPrEx>
        <w:tc>
          <w:tcPr>
            <w:tcW w:w="1872" w:type="dxa"/>
            <w:shd w:val="clear" w:color="auto" w:fill="FFFFFF" w:themeFill="background1"/>
            <w:tcMar>
              <w:top w:w="60" w:type="dxa"/>
              <w:left w:w="120" w:type="dxa"/>
              <w:bottom w:w="60" w:type="dxa"/>
              <w:right w:w="120" w:type="dxa"/>
            </w:tcMar>
          </w:tcPr>
          <w:p w14:paraId="6E726DE8" w14:textId="77777777" w:rsidR="00C96C5F" w:rsidRPr="00C96C5F" w:rsidRDefault="00C96C5F" w:rsidP="00C96C5F">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CYP1A2</w:t>
            </w:r>
          </w:p>
        </w:tc>
        <w:tc>
          <w:tcPr>
            <w:tcW w:w="1872" w:type="dxa"/>
            <w:shd w:val="clear" w:color="auto" w:fill="FFFFFF" w:themeFill="background1"/>
            <w:tcMar>
              <w:top w:w="60" w:type="dxa"/>
              <w:left w:w="120" w:type="dxa"/>
              <w:bottom w:w="60" w:type="dxa"/>
              <w:right w:w="120" w:type="dxa"/>
            </w:tcMar>
          </w:tcPr>
          <w:p w14:paraId="36EF53BE" w14:textId="77777777" w:rsidR="00C96C5F" w:rsidRPr="00C96C5F" w:rsidRDefault="00C96C5F" w:rsidP="00C96C5F">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Cytochrome P450 1A2</w:t>
            </w:r>
          </w:p>
        </w:tc>
        <w:tc>
          <w:tcPr>
            <w:tcW w:w="1872" w:type="dxa"/>
            <w:shd w:val="clear" w:color="auto" w:fill="FFFFFF" w:themeFill="background1"/>
            <w:tcMar>
              <w:top w:w="60" w:type="dxa"/>
              <w:left w:w="120" w:type="dxa"/>
              <w:bottom w:w="60" w:type="dxa"/>
              <w:right w:w="120" w:type="dxa"/>
            </w:tcMar>
          </w:tcPr>
          <w:p w14:paraId="166C809C" w14:textId="77777777" w:rsidR="00C96C5F" w:rsidRPr="00C96C5F" w:rsidRDefault="00C96C5F" w:rsidP="00C96C5F">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Homo sapiens</w:t>
            </w:r>
          </w:p>
        </w:tc>
        <w:tc>
          <w:tcPr>
            <w:tcW w:w="1872" w:type="dxa"/>
            <w:shd w:val="clear" w:color="auto" w:fill="FFFFFF" w:themeFill="background1"/>
            <w:tcMar>
              <w:top w:w="60" w:type="dxa"/>
              <w:left w:w="120" w:type="dxa"/>
              <w:bottom w:w="60" w:type="dxa"/>
              <w:right w:w="120" w:type="dxa"/>
            </w:tcMar>
          </w:tcPr>
          <w:p w14:paraId="5B8E9951" w14:textId="77777777" w:rsidR="00C96C5F" w:rsidRPr="00C96C5F" w:rsidRDefault="00C96C5F" w:rsidP="00C96C5F">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P05177</w:t>
            </w:r>
          </w:p>
        </w:tc>
        <w:tc>
          <w:tcPr>
            <w:tcW w:w="1872" w:type="dxa"/>
            <w:shd w:val="clear" w:color="auto" w:fill="FFFFFF" w:themeFill="background1"/>
            <w:tcMar>
              <w:top w:w="60" w:type="dxa"/>
              <w:left w:w="120" w:type="dxa"/>
              <w:bottom w:w="60" w:type="dxa"/>
              <w:right w:w="120" w:type="dxa"/>
            </w:tcMar>
          </w:tcPr>
          <w:p w14:paraId="089C9E8F" w14:textId="77777777" w:rsidR="00C96C5F" w:rsidRPr="00C96C5F" w:rsidRDefault="00C96C5F" w:rsidP="00C96C5F">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516</w:t>
            </w:r>
          </w:p>
        </w:tc>
      </w:tr>
      <w:tr w:rsidR="00C96C5F" w:rsidRPr="00C96C5F" w14:paraId="0296C7BF" w14:textId="77777777" w:rsidTr="00C96C5F">
        <w:tblPrEx>
          <w:tblCellMar>
            <w:top w:w="0" w:type="dxa"/>
            <w:bottom w:w="0" w:type="dxa"/>
          </w:tblCellMar>
        </w:tblPrEx>
        <w:tc>
          <w:tcPr>
            <w:tcW w:w="1872" w:type="dxa"/>
            <w:shd w:val="clear" w:color="auto" w:fill="FFFFFF" w:themeFill="background1"/>
            <w:tcMar>
              <w:top w:w="60" w:type="dxa"/>
              <w:left w:w="120" w:type="dxa"/>
              <w:bottom w:w="60" w:type="dxa"/>
              <w:right w:w="120" w:type="dxa"/>
            </w:tcMar>
          </w:tcPr>
          <w:p w14:paraId="4A976E55" w14:textId="77777777" w:rsidR="00C96C5F" w:rsidRPr="00C96C5F" w:rsidRDefault="00C96C5F" w:rsidP="00C96C5F">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CYP2D6</w:t>
            </w:r>
          </w:p>
        </w:tc>
        <w:tc>
          <w:tcPr>
            <w:tcW w:w="1872" w:type="dxa"/>
            <w:shd w:val="clear" w:color="auto" w:fill="FFFFFF" w:themeFill="background1"/>
            <w:tcMar>
              <w:top w:w="60" w:type="dxa"/>
              <w:left w:w="120" w:type="dxa"/>
              <w:bottom w:w="60" w:type="dxa"/>
              <w:right w:w="120" w:type="dxa"/>
            </w:tcMar>
          </w:tcPr>
          <w:p w14:paraId="2E709842" w14:textId="77777777" w:rsidR="00C96C5F" w:rsidRPr="00C96C5F" w:rsidRDefault="00C96C5F" w:rsidP="00C96C5F">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Cytochrome P450 2D6</w:t>
            </w:r>
          </w:p>
        </w:tc>
        <w:tc>
          <w:tcPr>
            <w:tcW w:w="1872" w:type="dxa"/>
            <w:shd w:val="clear" w:color="auto" w:fill="FFFFFF" w:themeFill="background1"/>
            <w:tcMar>
              <w:top w:w="60" w:type="dxa"/>
              <w:left w:w="120" w:type="dxa"/>
              <w:bottom w:w="60" w:type="dxa"/>
              <w:right w:w="120" w:type="dxa"/>
            </w:tcMar>
          </w:tcPr>
          <w:p w14:paraId="308DEC9A" w14:textId="77777777" w:rsidR="00C96C5F" w:rsidRPr="00C96C5F" w:rsidRDefault="00C96C5F" w:rsidP="00C96C5F">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Homo sapiens</w:t>
            </w:r>
          </w:p>
        </w:tc>
        <w:tc>
          <w:tcPr>
            <w:tcW w:w="1872" w:type="dxa"/>
            <w:shd w:val="clear" w:color="auto" w:fill="FFFFFF" w:themeFill="background1"/>
            <w:tcMar>
              <w:top w:w="60" w:type="dxa"/>
              <w:left w:w="120" w:type="dxa"/>
              <w:bottom w:w="60" w:type="dxa"/>
              <w:right w:w="120" w:type="dxa"/>
            </w:tcMar>
          </w:tcPr>
          <w:p w14:paraId="4FBA9481" w14:textId="77777777" w:rsidR="00C96C5F" w:rsidRPr="00C96C5F" w:rsidRDefault="00C96C5F" w:rsidP="00C96C5F">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P10635</w:t>
            </w:r>
          </w:p>
        </w:tc>
        <w:tc>
          <w:tcPr>
            <w:tcW w:w="1872" w:type="dxa"/>
            <w:shd w:val="clear" w:color="auto" w:fill="FFFFFF" w:themeFill="background1"/>
            <w:tcMar>
              <w:top w:w="60" w:type="dxa"/>
              <w:left w:w="120" w:type="dxa"/>
              <w:bottom w:w="60" w:type="dxa"/>
              <w:right w:w="120" w:type="dxa"/>
            </w:tcMar>
          </w:tcPr>
          <w:p w14:paraId="43DFFA6C" w14:textId="77777777" w:rsidR="00C96C5F" w:rsidRPr="00C96C5F" w:rsidRDefault="00C96C5F" w:rsidP="00C96C5F">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497</w:t>
            </w:r>
          </w:p>
        </w:tc>
      </w:tr>
      <w:tr w:rsidR="00C96C5F" w:rsidRPr="00C96C5F" w14:paraId="4B4DCD64" w14:textId="77777777" w:rsidTr="00C96C5F">
        <w:tblPrEx>
          <w:tblCellMar>
            <w:top w:w="0" w:type="dxa"/>
            <w:bottom w:w="0" w:type="dxa"/>
          </w:tblCellMar>
        </w:tblPrEx>
        <w:tc>
          <w:tcPr>
            <w:tcW w:w="1872" w:type="dxa"/>
            <w:shd w:val="clear" w:color="auto" w:fill="FFFFFF" w:themeFill="background1"/>
            <w:tcMar>
              <w:top w:w="60" w:type="dxa"/>
              <w:left w:w="120" w:type="dxa"/>
              <w:bottom w:w="60" w:type="dxa"/>
              <w:right w:w="120" w:type="dxa"/>
            </w:tcMar>
          </w:tcPr>
          <w:p w14:paraId="6D799AF0" w14:textId="77777777" w:rsidR="00C96C5F" w:rsidRPr="00C96C5F" w:rsidRDefault="00C96C5F" w:rsidP="00C96C5F">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CYP3A4</w:t>
            </w:r>
          </w:p>
        </w:tc>
        <w:tc>
          <w:tcPr>
            <w:tcW w:w="1872" w:type="dxa"/>
            <w:shd w:val="clear" w:color="auto" w:fill="FFFFFF" w:themeFill="background1"/>
            <w:tcMar>
              <w:top w:w="60" w:type="dxa"/>
              <w:left w:w="120" w:type="dxa"/>
              <w:bottom w:w="60" w:type="dxa"/>
              <w:right w:w="120" w:type="dxa"/>
            </w:tcMar>
          </w:tcPr>
          <w:p w14:paraId="6D39DE00" w14:textId="77777777" w:rsidR="00C96C5F" w:rsidRPr="00C96C5F" w:rsidRDefault="00C96C5F" w:rsidP="00C96C5F">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Cytochrome P450 3A4</w:t>
            </w:r>
          </w:p>
        </w:tc>
        <w:tc>
          <w:tcPr>
            <w:tcW w:w="1872" w:type="dxa"/>
            <w:shd w:val="clear" w:color="auto" w:fill="FFFFFF" w:themeFill="background1"/>
            <w:tcMar>
              <w:top w:w="60" w:type="dxa"/>
              <w:left w:w="120" w:type="dxa"/>
              <w:bottom w:w="60" w:type="dxa"/>
              <w:right w:w="120" w:type="dxa"/>
            </w:tcMar>
          </w:tcPr>
          <w:p w14:paraId="60069DA9" w14:textId="77777777" w:rsidR="00C96C5F" w:rsidRPr="00C96C5F" w:rsidRDefault="00C96C5F" w:rsidP="00C96C5F">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Homo sapiens</w:t>
            </w:r>
          </w:p>
        </w:tc>
        <w:tc>
          <w:tcPr>
            <w:tcW w:w="1872" w:type="dxa"/>
            <w:shd w:val="clear" w:color="auto" w:fill="FFFFFF" w:themeFill="background1"/>
            <w:tcMar>
              <w:top w:w="60" w:type="dxa"/>
              <w:left w:w="120" w:type="dxa"/>
              <w:bottom w:w="60" w:type="dxa"/>
              <w:right w:w="120" w:type="dxa"/>
            </w:tcMar>
          </w:tcPr>
          <w:p w14:paraId="78DB3961" w14:textId="77777777" w:rsidR="00C96C5F" w:rsidRPr="00C96C5F" w:rsidRDefault="00C96C5F" w:rsidP="00C96C5F">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P08684</w:t>
            </w:r>
          </w:p>
        </w:tc>
        <w:tc>
          <w:tcPr>
            <w:tcW w:w="1872" w:type="dxa"/>
            <w:shd w:val="clear" w:color="auto" w:fill="FFFFFF" w:themeFill="background1"/>
            <w:tcMar>
              <w:top w:w="60" w:type="dxa"/>
              <w:left w:w="120" w:type="dxa"/>
              <w:bottom w:w="60" w:type="dxa"/>
              <w:right w:w="120" w:type="dxa"/>
            </w:tcMar>
          </w:tcPr>
          <w:p w14:paraId="0D35280A" w14:textId="77777777" w:rsidR="00C96C5F" w:rsidRPr="00C96C5F" w:rsidRDefault="00C96C5F" w:rsidP="00C96C5F">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503</w:t>
            </w:r>
          </w:p>
        </w:tc>
      </w:tr>
      <w:tr w:rsidR="00C96C5F" w:rsidRPr="00C96C5F" w14:paraId="4235301A" w14:textId="77777777" w:rsidTr="00C96C5F">
        <w:tblPrEx>
          <w:tblCellMar>
            <w:top w:w="0" w:type="dxa"/>
            <w:bottom w:w="0" w:type="dxa"/>
          </w:tblCellMar>
        </w:tblPrEx>
        <w:tc>
          <w:tcPr>
            <w:tcW w:w="1872" w:type="dxa"/>
            <w:shd w:val="clear" w:color="auto" w:fill="FFFFFF" w:themeFill="background1"/>
            <w:tcMar>
              <w:top w:w="60" w:type="dxa"/>
              <w:left w:w="120" w:type="dxa"/>
              <w:bottom w:w="60" w:type="dxa"/>
              <w:right w:w="120" w:type="dxa"/>
            </w:tcMar>
          </w:tcPr>
          <w:p w14:paraId="02CD534B" w14:textId="77777777" w:rsidR="00C96C5F" w:rsidRPr="00C96C5F" w:rsidRDefault="00C96C5F" w:rsidP="00C96C5F">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CYP51A1</w:t>
            </w:r>
          </w:p>
        </w:tc>
        <w:tc>
          <w:tcPr>
            <w:tcW w:w="1872" w:type="dxa"/>
            <w:shd w:val="clear" w:color="auto" w:fill="FFFFFF" w:themeFill="background1"/>
            <w:tcMar>
              <w:top w:w="60" w:type="dxa"/>
              <w:left w:w="120" w:type="dxa"/>
              <w:bottom w:w="60" w:type="dxa"/>
              <w:right w:w="120" w:type="dxa"/>
            </w:tcMar>
          </w:tcPr>
          <w:p w14:paraId="1A010F2F" w14:textId="77777777" w:rsidR="00C96C5F" w:rsidRPr="00C96C5F" w:rsidRDefault="00C96C5F" w:rsidP="00C96C5F">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Lanosterol 14α-demethylase</w:t>
            </w:r>
          </w:p>
        </w:tc>
        <w:tc>
          <w:tcPr>
            <w:tcW w:w="1872" w:type="dxa"/>
            <w:shd w:val="clear" w:color="auto" w:fill="FFFFFF" w:themeFill="background1"/>
            <w:tcMar>
              <w:top w:w="60" w:type="dxa"/>
              <w:left w:w="120" w:type="dxa"/>
              <w:bottom w:w="60" w:type="dxa"/>
              <w:right w:w="120" w:type="dxa"/>
            </w:tcMar>
          </w:tcPr>
          <w:p w14:paraId="35B034A0" w14:textId="77777777" w:rsidR="00C96C5F" w:rsidRPr="00C96C5F" w:rsidRDefault="00C96C5F" w:rsidP="00C96C5F">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Saccharomyces cerevisiae</w:t>
            </w:r>
          </w:p>
        </w:tc>
        <w:tc>
          <w:tcPr>
            <w:tcW w:w="1872" w:type="dxa"/>
            <w:shd w:val="clear" w:color="auto" w:fill="FFFFFF" w:themeFill="background1"/>
            <w:tcMar>
              <w:top w:w="60" w:type="dxa"/>
              <w:left w:w="120" w:type="dxa"/>
              <w:bottom w:w="60" w:type="dxa"/>
              <w:right w:w="120" w:type="dxa"/>
            </w:tcMar>
          </w:tcPr>
          <w:p w14:paraId="43DFB198" w14:textId="77777777" w:rsidR="00C96C5F" w:rsidRPr="00C96C5F" w:rsidRDefault="00C96C5F" w:rsidP="00C96C5F">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P10614</w:t>
            </w:r>
          </w:p>
        </w:tc>
        <w:tc>
          <w:tcPr>
            <w:tcW w:w="1872" w:type="dxa"/>
            <w:shd w:val="clear" w:color="auto" w:fill="FFFFFF" w:themeFill="background1"/>
            <w:tcMar>
              <w:top w:w="60" w:type="dxa"/>
              <w:left w:w="120" w:type="dxa"/>
              <w:bottom w:w="60" w:type="dxa"/>
              <w:right w:w="120" w:type="dxa"/>
            </w:tcMar>
          </w:tcPr>
          <w:p w14:paraId="77ACFB64" w14:textId="77777777" w:rsidR="00C96C5F" w:rsidRPr="00C96C5F" w:rsidRDefault="00C96C5F" w:rsidP="00C96C5F">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530</w:t>
            </w:r>
          </w:p>
        </w:tc>
      </w:tr>
      <w:tr w:rsidR="00C96C5F" w:rsidRPr="00C96C5F" w14:paraId="1642FBD8" w14:textId="77777777" w:rsidTr="00C96C5F">
        <w:tblPrEx>
          <w:tblCellMar>
            <w:top w:w="0" w:type="dxa"/>
            <w:bottom w:w="0" w:type="dxa"/>
          </w:tblCellMar>
        </w:tblPrEx>
        <w:tc>
          <w:tcPr>
            <w:tcW w:w="1872" w:type="dxa"/>
            <w:shd w:val="clear" w:color="auto" w:fill="FFFFFF" w:themeFill="background1"/>
            <w:tcMar>
              <w:top w:w="60" w:type="dxa"/>
              <w:left w:w="120" w:type="dxa"/>
              <w:bottom w:w="60" w:type="dxa"/>
              <w:right w:w="120" w:type="dxa"/>
            </w:tcMar>
          </w:tcPr>
          <w:p w14:paraId="0D832A31" w14:textId="77777777" w:rsidR="00C96C5F" w:rsidRPr="00C96C5F" w:rsidRDefault="00C96C5F" w:rsidP="00C96C5F">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CYP101A1</w:t>
            </w:r>
          </w:p>
        </w:tc>
        <w:tc>
          <w:tcPr>
            <w:tcW w:w="1872" w:type="dxa"/>
            <w:shd w:val="clear" w:color="auto" w:fill="FFFFFF" w:themeFill="background1"/>
            <w:tcMar>
              <w:top w:w="60" w:type="dxa"/>
              <w:left w:w="120" w:type="dxa"/>
              <w:bottom w:w="60" w:type="dxa"/>
              <w:right w:w="120" w:type="dxa"/>
            </w:tcMar>
          </w:tcPr>
          <w:p w14:paraId="7BF65DFB" w14:textId="77777777" w:rsidR="00C96C5F" w:rsidRPr="00C96C5F" w:rsidRDefault="00C96C5F" w:rsidP="00C96C5F">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Camphor 5-monooxygenase (P450cam)</w:t>
            </w:r>
          </w:p>
        </w:tc>
        <w:tc>
          <w:tcPr>
            <w:tcW w:w="1872" w:type="dxa"/>
            <w:shd w:val="clear" w:color="auto" w:fill="FFFFFF" w:themeFill="background1"/>
            <w:tcMar>
              <w:top w:w="60" w:type="dxa"/>
              <w:left w:w="120" w:type="dxa"/>
              <w:bottom w:w="60" w:type="dxa"/>
              <w:right w:w="120" w:type="dxa"/>
            </w:tcMar>
          </w:tcPr>
          <w:p w14:paraId="358071A0" w14:textId="77777777" w:rsidR="00C96C5F" w:rsidRPr="00C96C5F" w:rsidRDefault="00C96C5F" w:rsidP="00C96C5F">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Pseudomonas putida</w:t>
            </w:r>
          </w:p>
        </w:tc>
        <w:tc>
          <w:tcPr>
            <w:tcW w:w="1872" w:type="dxa"/>
            <w:shd w:val="clear" w:color="auto" w:fill="FFFFFF" w:themeFill="background1"/>
            <w:tcMar>
              <w:top w:w="60" w:type="dxa"/>
              <w:left w:w="120" w:type="dxa"/>
              <w:bottom w:w="60" w:type="dxa"/>
              <w:right w:w="120" w:type="dxa"/>
            </w:tcMar>
          </w:tcPr>
          <w:p w14:paraId="1B93E251" w14:textId="77777777" w:rsidR="00C96C5F" w:rsidRPr="00C96C5F" w:rsidRDefault="00C96C5F" w:rsidP="00C96C5F">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P00183</w:t>
            </w:r>
          </w:p>
        </w:tc>
        <w:tc>
          <w:tcPr>
            <w:tcW w:w="1872" w:type="dxa"/>
            <w:shd w:val="clear" w:color="auto" w:fill="FFFFFF" w:themeFill="background1"/>
            <w:tcMar>
              <w:top w:w="60" w:type="dxa"/>
              <w:left w:w="120" w:type="dxa"/>
              <w:bottom w:w="60" w:type="dxa"/>
              <w:right w:w="120" w:type="dxa"/>
            </w:tcMar>
          </w:tcPr>
          <w:p w14:paraId="135DF314" w14:textId="77777777" w:rsidR="00C96C5F" w:rsidRPr="00C96C5F" w:rsidRDefault="00C96C5F" w:rsidP="00C96C5F">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414</w:t>
            </w:r>
          </w:p>
        </w:tc>
      </w:tr>
      <w:tr w:rsidR="00C96C5F" w:rsidRPr="00C96C5F" w14:paraId="6142D020" w14:textId="77777777" w:rsidTr="00C96C5F">
        <w:tblPrEx>
          <w:tblCellMar>
            <w:top w:w="0" w:type="dxa"/>
            <w:bottom w:w="0" w:type="dxa"/>
          </w:tblCellMar>
        </w:tblPrEx>
        <w:tc>
          <w:tcPr>
            <w:tcW w:w="1872" w:type="dxa"/>
            <w:shd w:val="clear" w:color="auto" w:fill="FFFFFF" w:themeFill="background1"/>
            <w:tcMar>
              <w:top w:w="60" w:type="dxa"/>
              <w:left w:w="120" w:type="dxa"/>
              <w:bottom w:w="60" w:type="dxa"/>
              <w:right w:w="120" w:type="dxa"/>
            </w:tcMar>
          </w:tcPr>
          <w:p w14:paraId="22C43C14" w14:textId="77777777" w:rsidR="00C96C5F" w:rsidRPr="00C96C5F" w:rsidRDefault="00C96C5F" w:rsidP="00C96C5F">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CYP11A1</w:t>
            </w:r>
          </w:p>
        </w:tc>
        <w:tc>
          <w:tcPr>
            <w:tcW w:w="1872" w:type="dxa"/>
            <w:shd w:val="clear" w:color="auto" w:fill="FFFFFF" w:themeFill="background1"/>
            <w:tcMar>
              <w:top w:w="60" w:type="dxa"/>
              <w:left w:w="120" w:type="dxa"/>
              <w:bottom w:w="60" w:type="dxa"/>
              <w:right w:w="120" w:type="dxa"/>
            </w:tcMar>
          </w:tcPr>
          <w:p w14:paraId="5D417DFE" w14:textId="77777777" w:rsidR="00C96C5F" w:rsidRPr="00C96C5F" w:rsidRDefault="00C96C5F" w:rsidP="00C96C5F">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Cholesterol side-chain cleavage enzyme</w:t>
            </w:r>
          </w:p>
        </w:tc>
        <w:tc>
          <w:tcPr>
            <w:tcW w:w="1872" w:type="dxa"/>
            <w:shd w:val="clear" w:color="auto" w:fill="FFFFFF" w:themeFill="background1"/>
            <w:tcMar>
              <w:top w:w="60" w:type="dxa"/>
              <w:left w:w="120" w:type="dxa"/>
              <w:bottom w:w="60" w:type="dxa"/>
              <w:right w:w="120" w:type="dxa"/>
            </w:tcMar>
          </w:tcPr>
          <w:p w14:paraId="348B51FD" w14:textId="77777777" w:rsidR="00C96C5F" w:rsidRPr="00C96C5F" w:rsidRDefault="00C96C5F" w:rsidP="00C96C5F">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Homo sapiens</w:t>
            </w:r>
          </w:p>
        </w:tc>
        <w:tc>
          <w:tcPr>
            <w:tcW w:w="1872" w:type="dxa"/>
            <w:shd w:val="clear" w:color="auto" w:fill="FFFFFF" w:themeFill="background1"/>
            <w:tcMar>
              <w:top w:w="60" w:type="dxa"/>
              <w:left w:w="120" w:type="dxa"/>
              <w:bottom w:w="60" w:type="dxa"/>
              <w:right w:w="120" w:type="dxa"/>
            </w:tcMar>
          </w:tcPr>
          <w:p w14:paraId="5FD53325" w14:textId="77777777" w:rsidR="00C96C5F" w:rsidRPr="00C96C5F" w:rsidRDefault="00C96C5F" w:rsidP="00C96C5F">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P05106</w:t>
            </w:r>
          </w:p>
        </w:tc>
        <w:tc>
          <w:tcPr>
            <w:tcW w:w="1872" w:type="dxa"/>
            <w:shd w:val="clear" w:color="auto" w:fill="FFFFFF" w:themeFill="background1"/>
            <w:tcMar>
              <w:top w:w="60" w:type="dxa"/>
              <w:left w:w="120" w:type="dxa"/>
              <w:bottom w:w="60" w:type="dxa"/>
              <w:right w:w="120" w:type="dxa"/>
            </w:tcMar>
          </w:tcPr>
          <w:p w14:paraId="11180349" w14:textId="77777777" w:rsidR="00C96C5F" w:rsidRPr="00C96C5F" w:rsidRDefault="00C96C5F" w:rsidP="00C96C5F">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521</w:t>
            </w:r>
          </w:p>
        </w:tc>
      </w:tr>
    </w:tbl>
    <w:p w14:paraId="5B3735D6" w14:textId="77777777" w:rsidR="00C96C5F" w:rsidRPr="00C96C5F" w:rsidRDefault="00C96C5F" w:rsidP="00C96C5F">
      <w:pPr>
        <w:pStyle w:val="Heading2"/>
        <w:spacing w:line="276" w:lineRule="auto"/>
        <w:jc w:val="both"/>
        <w:rPr>
          <w:rFonts w:ascii="Times New Roman" w:hAnsi="Times New Roman" w:cs="Times New Roman"/>
          <w:color w:val="000000" w:themeColor="text1"/>
          <w:sz w:val="24"/>
          <w:szCs w:val="24"/>
        </w:rPr>
      </w:pPr>
      <w:proofErr w:type="gramStart"/>
      <w:r w:rsidRPr="00C96C5F">
        <w:rPr>
          <w:rFonts w:ascii="Times New Roman" w:hAnsi="Times New Roman" w:cs="Times New Roman"/>
          <w:b/>
          <w:bCs/>
          <w:color w:val="000000" w:themeColor="text1"/>
          <w:sz w:val="24"/>
          <w:szCs w:val="24"/>
        </w:rPr>
        <w:t>2.3  Alignment</w:t>
      </w:r>
      <w:proofErr w:type="gramEnd"/>
      <w:r w:rsidRPr="00C96C5F">
        <w:rPr>
          <w:rFonts w:ascii="Times New Roman" w:hAnsi="Times New Roman" w:cs="Times New Roman"/>
          <w:b/>
          <w:bCs/>
          <w:color w:val="000000" w:themeColor="text1"/>
          <w:sz w:val="24"/>
          <w:szCs w:val="24"/>
        </w:rPr>
        <w:t xml:space="preserve"> Methodology</w:t>
      </w:r>
    </w:p>
    <w:p w14:paraId="70194741" w14:textId="77777777" w:rsidR="00C96C5F" w:rsidRPr="00C96C5F" w:rsidRDefault="00C96C5F" w:rsidP="00C96C5F">
      <w:pPr>
        <w:spacing w:before="60" w:after="60"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Multiple Sequence Alignment was performed using two complementary tools to ensure accuracy:</w:t>
      </w:r>
    </w:p>
    <w:p w14:paraId="14CF73C4" w14:textId="77777777" w:rsidR="00C96C5F" w:rsidRPr="00C96C5F" w:rsidRDefault="00C96C5F" w:rsidP="00C96C5F">
      <w:pPr>
        <w:pStyle w:val="ListParagraph"/>
        <w:numPr>
          <w:ilvl w:val="0"/>
          <w:numId w:val="1"/>
        </w:numPr>
        <w:spacing w:before="40" w:after="40" w:line="276" w:lineRule="auto"/>
        <w:contextualSpacing w:val="0"/>
        <w:jc w:val="both"/>
        <w:rPr>
          <w:rFonts w:ascii="Times New Roman" w:hAnsi="Times New Roman" w:cs="Times New Roman"/>
          <w:color w:val="000000" w:themeColor="text1"/>
          <w:sz w:val="24"/>
          <w:szCs w:val="24"/>
        </w:rPr>
      </w:pPr>
      <w:proofErr w:type="spellStart"/>
      <w:r w:rsidRPr="00C96C5F">
        <w:rPr>
          <w:rFonts w:ascii="Times New Roman" w:hAnsi="Times New Roman" w:cs="Times New Roman"/>
          <w:color w:val="000000" w:themeColor="text1"/>
          <w:sz w:val="24"/>
          <w:szCs w:val="24"/>
        </w:rPr>
        <w:t>Clustal</w:t>
      </w:r>
      <w:proofErr w:type="spellEnd"/>
      <w:r w:rsidRPr="00C96C5F">
        <w:rPr>
          <w:rFonts w:ascii="Times New Roman" w:hAnsi="Times New Roman" w:cs="Times New Roman"/>
          <w:color w:val="000000" w:themeColor="text1"/>
          <w:sz w:val="24"/>
          <w:szCs w:val="24"/>
        </w:rPr>
        <w:t xml:space="preserve"> Omega (EMBL-EBI): Progressive alignment using HMM profile-profile comparison. Parameters: default gap opening penalty 6, gap extension 1, 13 k-tuple word size.</w:t>
      </w:r>
    </w:p>
    <w:p w14:paraId="7598D016" w14:textId="77777777" w:rsidR="00C96C5F" w:rsidRPr="00C96C5F" w:rsidRDefault="00C96C5F" w:rsidP="00C96C5F">
      <w:pPr>
        <w:pStyle w:val="ListParagraph"/>
        <w:numPr>
          <w:ilvl w:val="0"/>
          <w:numId w:val="1"/>
        </w:numPr>
        <w:spacing w:before="40" w:after="40" w:line="276" w:lineRule="auto"/>
        <w:contextualSpacing w:val="0"/>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MUSCLE v5 (Multiple Sequence Comparison by Log-Expectation): Iterative alignment with progressive and refinement phases. Superior for divergent sequences.</w:t>
      </w:r>
    </w:p>
    <w:p w14:paraId="0273CA71" w14:textId="77777777" w:rsidR="00C96C5F" w:rsidRPr="00C96C5F" w:rsidRDefault="00C96C5F" w:rsidP="00C96C5F">
      <w:pPr>
        <w:spacing w:before="60" w:after="60"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lastRenderedPageBreak/>
        <w:t xml:space="preserve">Both alignments were visualized using </w:t>
      </w:r>
      <w:proofErr w:type="spellStart"/>
      <w:r w:rsidRPr="00C96C5F">
        <w:rPr>
          <w:rFonts w:ascii="Times New Roman" w:hAnsi="Times New Roman" w:cs="Times New Roman"/>
          <w:color w:val="000000" w:themeColor="text1"/>
          <w:sz w:val="24"/>
          <w:szCs w:val="24"/>
        </w:rPr>
        <w:t>Jalview</w:t>
      </w:r>
      <w:proofErr w:type="spellEnd"/>
      <w:r w:rsidRPr="00C96C5F">
        <w:rPr>
          <w:rFonts w:ascii="Times New Roman" w:hAnsi="Times New Roman" w:cs="Times New Roman"/>
          <w:color w:val="000000" w:themeColor="text1"/>
          <w:sz w:val="24"/>
          <w:szCs w:val="24"/>
        </w:rPr>
        <w:t xml:space="preserve"> 2.11 for conservation scoring and annotation.</w:t>
      </w:r>
    </w:p>
    <w:p w14:paraId="2F29FAA3" w14:textId="77777777" w:rsidR="00C96C5F" w:rsidRPr="00C96C5F" w:rsidRDefault="00C96C5F" w:rsidP="00C96C5F">
      <w:pPr>
        <w:pStyle w:val="Heading2"/>
        <w:spacing w:line="276" w:lineRule="auto"/>
        <w:jc w:val="both"/>
        <w:rPr>
          <w:rFonts w:ascii="Times New Roman" w:hAnsi="Times New Roman" w:cs="Times New Roman"/>
          <w:color w:val="000000" w:themeColor="text1"/>
          <w:sz w:val="24"/>
          <w:szCs w:val="24"/>
        </w:rPr>
      </w:pPr>
      <w:proofErr w:type="gramStart"/>
      <w:r w:rsidRPr="00C96C5F">
        <w:rPr>
          <w:rFonts w:ascii="Times New Roman" w:hAnsi="Times New Roman" w:cs="Times New Roman"/>
          <w:b/>
          <w:bCs/>
          <w:color w:val="000000" w:themeColor="text1"/>
          <w:sz w:val="24"/>
          <w:szCs w:val="24"/>
        </w:rPr>
        <w:t>2.4  Alignment</w:t>
      </w:r>
      <w:proofErr w:type="gramEnd"/>
      <w:r w:rsidRPr="00C96C5F">
        <w:rPr>
          <w:rFonts w:ascii="Times New Roman" w:hAnsi="Times New Roman" w:cs="Times New Roman"/>
          <w:b/>
          <w:bCs/>
          <w:color w:val="000000" w:themeColor="text1"/>
          <w:sz w:val="24"/>
          <w:szCs w:val="24"/>
        </w:rPr>
        <w:t xml:space="preserve"> Results and Conserved Regions</w:t>
      </w:r>
    </w:p>
    <w:p w14:paraId="788111C9" w14:textId="77777777" w:rsidR="00C96C5F" w:rsidRPr="00C96C5F" w:rsidRDefault="00C96C5F" w:rsidP="00C96C5F">
      <w:pPr>
        <w:spacing w:before="160" w:after="60" w:line="276" w:lineRule="auto"/>
        <w:jc w:val="both"/>
        <w:rPr>
          <w:rFonts w:ascii="Times New Roman" w:hAnsi="Times New Roman" w:cs="Times New Roman"/>
          <w:color w:val="000000" w:themeColor="text1"/>
          <w:sz w:val="24"/>
          <w:szCs w:val="24"/>
        </w:rPr>
      </w:pPr>
      <w:r w:rsidRPr="00C96C5F">
        <w:rPr>
          <w:rFonts w:ascii="Times New Roman" w:hAnsi="Times New Roman" w:cs="Times New Roman"/>
          <w:b/>
          <w:bCs/>
          <w:color w:val="000000" w:themeColor="text1"/>
          <w:sz w:val="24"/>
          <w:szCs w:val="24"/>
        </w:rPr>
        <w:t xml:space="preserve">Conserved Motif 1: </w:t>
      </w:r>
      <w:proofErr w:type="spellStart"/>
      <w:r w:rsidRPr="00C96C5F">
        <w:rPr>
          <w:rFonts w:ascii="Times New Roman" w:hAnsi="Times New Roman" w:cs="Times New Roman"/>
          <w:b/>
          <w:bCs/>
          <w:color w:val="000000" w:themeColor="text1"/>
          <w:sz w:val="24"/>
          <w:szCs w:val="24"/>
        </w:rPr>
        <w:t>Heme</w:t>
      </w:r>
      <w:proofErr w:type="spellEnd"/>
      <w:r w:rsidRPr="00C96C5F">
        <w:rPr>
          <w:rFonts w:ascii="Times New Roman" w:hAnsi="Times New Roman" w:cs="Times New Roman"/>
          <w:b/>
          <w:bCs/>
          <w:color w:val="000000" w:themeColor="text1"/>
          <w:sz w:val="24"/>
          <w:szCs w:val="24"/>
        </w:rPr>
        <w:t>-Binding Cysteine (</w:t>
      </w:r>
      <w:proofErr w:type="spellStart"/>
      <w:r w:rsidRPr="00C96C5F">
        <w:rPr>
          <w:rFonts w:ascii="Times New Roman" w:hAnsi="Times New Roman" w:cs="Times New Roman"/>
          <w:b/>
          <w:bCs/>
          <w:color w:val="000000" w:themeColor="text1"/>
          <w:sz w:val="24"/>
          <w:szCs w:val="24"/>
        </w:rPr>
        <w:t>FxxGxxxCxG</w:t>
      </w:r>
      <w:proofErr w:type="spellEnd"/>
      <w:r w:rsidRPr="00C96C5F">
        <w:rPr>
          <w:rFonts w:ascii="Times New Roman" w:hAnsi="Times New Roman" w:cs="Times New Roman"/>
          <w:b/>
          <w:bCs/>
          <w:color w:val="000000" w:themeColor="text1"/>
          <w:sz w:val="24"/>
          <w:szCs w:val="24"/>
        </w:rPr>
        <w:t>)</w:t>
      </w:r>
    </w:p>
    <w:p w14:paraId="0A94434F" w14:textId="77777777" w:rsidR="00C96C5F" w:rsidRPr="00C96C5F" w:rsidRDefault="00C96C5F" w:rsidP="00C96C5F">
      <w:pPr>
        <w:spacing w:before="60" w:after="60"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 xml:space="preserve">The most highly conserved motif across all CYP sequences is the </w:t>
      </w:r>
      <w:proofErr w:type="spellStart"/>
      <w:r w:rsidRPr="00C96C5F">
        <w:rPr>
          <w:rFonts w:ascii="Times New Roman" w:hAnsi="Times New Roman" w:cs="Times New Roman"/>
          <w:color w:val="000000" w:themeColor="text1"/>
          <w:sz w:val="24"/>
          <w:szCs w:val="24"/>
        </w:rPr>
        <w:t>heme</w:t>
      </w:r>
      <w:proofErr w:type="spellEnd"/>
      <w:r w:rsidRPr="00C96C5F">
        <w:rPr>
          <w:rFonts w:ascii="Times New Roman" w:hAnsi="Times New Roman" w:cs="Times New Roman"/>
          <w:color w:val="000000" w:themeColor="text1"/>
          <w:sz w:val="24"/>
          <w:szCs w:val="24"/>
        </w:rPr>
        <w:t xml:space="preserve">-binding region containing the invariant cysteine residue. In human CYP1A2, this corresponds to residues 455–464 (FGAGRRSCIG). This cysteine serves as the fifth ligand to the </w:t>
      </w:r>
      <w:proofErr w:type="spellStart"/>
      <w:r w:rsidRPr="00C96C5F">
        <w:rPr>
          <w:rFonts w:ascii="Times New Roman" w:hAnsi="Times New Roman" w:cs="Times New Roman"/>
          <w:color w:val="000000" w:themeColor="text1"/>
          <w:sz w:val="24"/>
          <w:szCs w:val="24"/>
        </w:rPr>
        <w:t>heme</w:t>
      </w:r>
      <w:proofErr w:type="spellEnd"/>
      <w:r w:rsidRPr="00C96C5F">
        <w:rPr>
          <w:rFonts w:ascii="Times New Roman" w:hAnsi="Times New Roman" w:cs="Times New Roman"/>
          <w:color w:val="000000" w:themeColor="text1"/>
          <w:sz w:val="24"/>
          <w:szCs w:val="24"/>
        </w:rPr>
        <w:t xml:space="preserve"> iron and is absolutely essential for enzymatic activity. Conservation score: 1.00 (100% identical position).</w:t>
      </w:r>
    </w:p>
    <w:p w14:paraId="74E6E7C4" w14:textId="77777777" w:rsidR="00C96C5F" w:rsidRPr="00C96C5F" w:rsidRDefault="00C96C5F" w:rsidP="00C96C5F">
      <w:pPr>
        <w:spacing w:before="160" w:after="60" w:line="276" w:lineRule="auto"/>
        <w:jc w:val="both"/>
        <w:rPr>
          <w:rFonts w:ascii="Times New Roman" w:hAnsi="Times New Roman" w:cs="Times New Roman"/>
          <w:color w:val="000000" w:themeColor="text1"/>
          <w:sz w:val="24"/>
          <w:szCs w:val="24"/>
        </w:rPr>
      </w:pPr>
      <w:r w:rsidRPr="00C96C5F">
        <w:rPr>
          <w:rFonts w:ascii="Times New Roman" w:hAnsi="Times New Roman" w:cs="Times New Roman"/>
          <w:b/>
          <w:bCs/>
          <w:color w:val="000000" w:themeColor="text1"/>
          <w:sz w:val="24"/>
          <w:szCs w:val="24"/>
        </w:rPr>
        <w:t>Conserved Motif 2: Meander Region (ExxR)</w:t>
      </w:r>
    </w:p>
    <w:p w14:paraId="595641A3" w14:textId="77777777" w:rsidR="00C96C5F" w:rsidRPr="00C96C5F" w:rsidRDefault="00C96C5F" w:rsidP="00C96C5F">
      <w:pPr>
        <w:spacing w:before="60" w:after="60"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 xml:space="preserve">The 'meander' region upstream of the </w:t>
      </w:r>
      <w:proofErr w:type="spellStart"/>
      <w:r w:rsidRPr="00C96C5F">
        <w:rPr>
          <w:rFonts w:ascii="Times New Roman" w:hAnsi="Times New Roman" w:cs="Times New Roman"/>
          <w:color w:val="000000" w:themeColor="text1"/>
          <w:sz w:val="24"/>
          <w:szCs w:val="24"/>
        </w:rPr>
        <w:t>heme</w:t>
      </w:r>
      <w:proofErr w:type="spellEnd"/>
      <w:r w:rsidRPr="00C96C5F">
        <w:rPr>
          <w:rFonts w:ascii="Times New Roman" w:hAnsi="Times New Roman" w:cs="Times New Roman"/>
          <w:color w:val="000000" w:themeColor="text1"/>
          <w:sz w:val="24"/>
          <w:szCs w:val="24"/>
        </w:rPr>
        <w:t>-binding domain contains a conserved glutamate-X-X-arginine (ExxR) motif. This motif participates in a salt-bridge network that stabilizes the core protein fold. Disruption of this motif invariably leads to complete loss of function. Conservation score: 0.92.</w:t>
      </w:r>
    </w:p>
    <w:p w14:paraId="5D20F8BC" w14:textId="77777777" w:rsidR="00C96C5F" w:rsidRPr="00C96C5F" w:rsidRDefault="00C96C5F" w:rsidP="00C96C5F">
      <w:pPr>
        <w:spacing w:before="160" w:after="60" w:line="276" w:lineRule="auto"/>
        <w:jc w:val="both"/>
        <w:rPr>
          <w:rFonts w:ascii="Times New Roman" w:hAnsi="Times New Roman" w:cs="Times New Roman"/>
          <w:color w:val="000000" w:themeColor="text1"/>
          <w:sz w:val="24"/>
          <w:szCs w:val="24"/>
        </w:rPr>
      </w:pPr>
      <w:r w:rsidRPr="00C96C5F">
        <w:rPr>
          <w:rFonts w:ascii="Times New Roman" w:hAnsi="Times New Roman" w:cs="Times New Roman"/>
          <w:b/>
          <w:bCs/>
          <w:color w:val="000000" w:themeColor="text1"/>
          <w:sz w:val="24"/>
          <w:szCs w:val="24"/>
        </w:rPr>
        <w:t>Conserved Motif 3: I-Helix Threonine (</w:t>
      </w:r>
      <w:proofErr w:type="spellStart"/>
      <w:r w:rsidRPr="00C96C5F">
        <w:rPr>
          <w:rFonts w:ascii="Times New Roman" w:hAnsi="Times New Roman" w:cs="Times New Roman"/>
          <w:b/>
          <w:bCs/>
          <w:color w:val="000000" w:themeColor="text1"/>
          <w:sz w:val="24"/>
          <w:szCs w:val="24"/>
        </w:rPr>
        <w:t>AxT</w:t>
      </w:r>
      <w:proofErr w:type="spellEnd"/>
      <w:r w:rsidRPr="00C96C5F">
        <w:rPr>
          <w:rFonts w:ascii="Times New Roman" w:hAnsi="Times New Roman" w:cs="Times New Roman"/>
          <w:b/>
          <w:bCs/>
          <w:color w:val="000000" w:themeColor="text1"/>
          <w:sz w:val="24"/>
          <w:szCs w:val="24"/>
        </w:rPr>
        <w:t>)</w:t>
      </w:r>
    </w:p>
    <w:p w14:paraId="54F31B10" w14:textId="77777777" w:rsidR="00C96C5F" w:rsidRPr="00C96C5F" w:rsidRDefault="00C96C5F" w:rsidP="00C96C5F">
      <w:pPr>
        <w:spacing w:before="60" w:after="60"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The I-helix contains a conserved threonine (</w:t>
      </w:r>
      <w:proofErr w:type="spellStart"/>
      <w:r w:rsidRPr="00C96C5F">
        <w:rPr>
          <w:rFonts w:ascii="Times New Roman" w:hAnsi="Times New Roman" w:cs="Times New Roman"/>
          <w:color w:val="000000" w:themeColor="text1"/>
          <w:sz w:val="24"/>
          <w:szCs w:val="24"/>
        </w:rPr>
        <w:t>Thr</w:t>
      </w:r>
      <w:proofErr w:type="spellEnd"/>
      <w:r w:rsidRPr="00C96C5F">
        <w:rPr>
          <w:rFonts w:ascii="Times New Roman" w:hAnsi="Times New Roman" w:cs="Times New Roman"/>
          <w:color w:val="000000" w:themeColor="text1"/>
          <w:sz w:val="24"/>
          <w:szCs w:val="24"/>
        </w:rPr>
        <w:t xml:space="preserve">) residue that is involved in proton delivery to the active site during the catalytic cycle. In CYP1A2, this is Thr321. This position is conserved in 5 of 6 sequences </w:t>
      </w:r>
      <w:proofErr w:type="spellStart"/>
      <w:r w:rsidRPr="00C96C5F">
        <w:rPr>
          <w:rFonts w:ascii="Times New Roman" w:hAnsi="Times New Roman" w:cs="Times New Roman"/>
          <w:color w:val="000000" w:themeColor="text1"/>
          <w:sz w:val="24"/>
          <w:szCs w:val="24"/>
        </w:rPr>
        <w:t>analyzed</w:t>
      </w:r>
      <w:proofErr w:type="spellEnd"/>
      <w:r w:rsidRPr="00C96C5F">
        <w:rPr>
          <w:rFonts w:ascii="Times New Roman" w:hAnsi="Times New Roman" w:cs="Times New Roman"/>
          <w:color w:val="000000" w:themeColor="text1"/>
          <w:sz w:val="24"/>
          <w:szCs w:val="24"/>
        </w:rPr>
        <w:t xml:space="preserve"> (83% conservation), with a conservative substitution (Ser) observed in one bacterial variant.</w:t>
      </w:r>
    </w:p>
    <w:p w14:paraId="0D621BB1" w14:textId="77777777" w:rsidR="00C96C5F" w:rsidRPr="00C96C5F" w:rsidRDefault="00C96C5F" w:rsidP="00C96C5F">
      <w:pPr>
        <w:spacing w:before="160" w:after="60" w:line="276" w:lineRule="auto"/>
        <w:jc w:val="both"/>
        <w:rPr>
          <w:rFonts w:ascii="Times New Roman" w:hAnsi="Times New Roman" w:cs="Times New Roman"/>
          <w:color w:val="000000" w:themeColor="text1"/>
          <w:sz w:val="24"/>
          <w:szCs w:val="24"/>
        </w:rPr>
      </w:pPr>
      <w:r w:rsidRPr="00C96C5F">
        <w:rPr>
          <w:rFonts w:ascii="Times New Roman" w:hAnsi="Times New Roman" w:cs="Times New Roman"/>
          <w:b/>
          <w:bCs/>
          <w:color w:val="000000" w:themeColor="text1"/>
          <w:sz w:val="24"/>
          <w:szCs w:val="24"/>
        </w:rPr>
        <w:t>Variable Regions: Substrate Recognition Sites (SRS)</w:t>
      </w:r>
    </w:p>
    <w:p w14:paraId="07CD17D7" w14:textId="77777777" w:rsidR="00C96C5F" w:rsidRPr="00C96C5F" w:rsidRDefault="00C96C5F" w:rsidP="00C96C5F">
      <w:pPr>
        <w:spacing w:before="60" w:after="60"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In contrast to the conserved structural elements, the six substrate recognition sites (SRS1–SRS6) show high sequence variability. These regions form the substrate-binding pocket and their divergence explains the wide variety of substrates metabolized by different CYP isoforms.</w:t>
      </w:r>
    </w:p>
    <w:p w14:paraId="621851F8" w14:textId="77777777" w:rsidR="00C96C5F" w:rsidRPr="00C96C5F" w:rsidRDefault="00C96C5F" w:rsidP="00C96C5F">
      <w:pPr>
        <w:spacing w:before="100" w:after="100" w:line="276" w:lineRule="auto"/>
        <w:jc w:val="both"/>
        <w:rPr>
          <w:rFonts w:ascii="Times New Roman" w:hAnsi="Times New Roman" w:cs="Times New Roman"/>
          <w:color w:val="000000" w:themeColor="text1"/>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872"/>
        <w:gridCol w:w="1872"/>
        <w:gridCol w:w="1872"/>
        <w:gridCol w:w="1872"/>
        <w:gridCol w:w="1872"/>
      </w:tblGrid>
      <w:tr w:rsidR="00C96C5F" w:rsidRPr="00C96C5F" w14:paraId="7546146C" w14:textId="77777777" w:rsidTr="00C96C5F">
        <w:tblPrEx>
          <w:tblCellMar>
            <w:top w:w="0" w:type="dxa"/>
            <w:bottom w:w="0" w:type="dxa"/>
          </w:tblCellMar>
        </w:tblPrEx>
        <w:tc>
          <w:tcPr>
            <w:tcW w:w="1872" w:type="dxa"/>
            <w:shd w:val="clear" w:color="auto" w:fill="FFFFFF" w:themeFill="background1"/>
            <w:tcMar>
              <w:top w:w="80" w:type="dxa"/>
              <w:left w:w="120" w:type="dxa"/>
              <w:bottom w:w="80" w:type="dxa"/>
              <w:right w:w="120" w:type="dxa"/>
            </w:tcMar>
          </w:tcPr>
          <w:p w14:paraId="5A0D8024" w14:textId="77777777" w:rsidR="00C96C5F" w:rsidRPr="00C96C5F" w:rsidRDefault="00C96C5F" w:rsidP="00C96C5F">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b/>
                <w:bCs/>
                <w:color w:val="000000" w:themeColor="text1"/>
                <w:sz w:val="24"/>
                <w:szCs w:val="24"/>
              </w:rPr>
              <w:t>Region</w:t>
            </w:r>
          </w:p>
        </w:tc>
        <w:tc>
          <w:tcPr>
            <w:tcW w:w="1872" w:type="dxa"/>
            <w:shd w:val="clear" w:color="auto" w:fill="FFFFFF" w:themeFill="background1"/>
            <w:tcMar>
              <w:top w:w="80" w:type="dxa"/>
              <w:left w:w="120" w:type="dxa"/>
              <w:bottom w:w="80" w:type="dxa"/>
              <w:right w:w="120" w:type="dxa"/>
            </w:tcMar>
          </w:tcPr>
          <w:p w14:paraId="52F9D83E" w14:textId="77777777" w:rsidR="00C96C5F" w:rsidRPr="00C96C5F" w:rsidRDefault="00C96C5F" w:rsidP="00C96C5F">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b/>
                <w:bCs/>
                <w:color w:val="000000" w:themeColor="text1"/>
                <w:sz w:val="24"/>
                <w:szCs w:val="24"/>
              </w:rPr>
              <w:t>Residues (CYP1A2)</w:t>
            </w:r>
          </w:p>
        </w:tc>
        <w:tc>
          <w:tcPr>
            <w:tcW w:w="1872" w:type="dxa"/>
            <w:shd w:val="clear" w:color="auto" w:fill="FFFFFF" w:themeFill="background1"/>
            <w:tcMar>
              <w:top w:w="80" w:type="dxa"/>
              <w:left w:w="120" w:type="dxa"/>
              <w:bottom w:w="80" w:type="dxa"/>
              <w:right w:w="120" w:type="dxa"/>
            </w:tcMar>
          </w:tcPr>
          <w:p w14:paraId="55E9A354" w14:textId="77777777" w:rsidR="00C96C5F" w:rsidRPr="00C96C5F" w:rsidRDefault="00C96C5F" w:rsidP="00C96C5F">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b/>
                <w:bCs/>
                <w:color w:val="000000" w:themeColor="text1"/>
                <w:sz w:val="24"/>
                <w:szCs w:val="24"/>
              </w:rPr>
              <w:t>Conservation Score</w:t>
            </w:r>
          </w:p>
        </w:tc>
        <w:tc>
          <w:tcPr>
            <w:tcW w:w="1872" w:type="dxa"/>
            <w:shd w:val="clear" w:color="auto" w:fill="FFFFFF" w:themeFill="background1"/>
            <w:tcMar>
              <w:top w:w="80" w:type="dxa"/>
              <w:left w:w="120" w:type="dxa"/>
              <w:bottom w:w="80" w:type="dxa"/>
              <w:right w:w="120" w:type="dxa"/>
            </w:tcMar>
          </w:tcPr>
          <w:p w14:paraId="7F2BC16D" w14:textId="77777777" w:rsidR="00C96C5F" w:rsidRPr="00C96C5F" w:rsidRDefault="00C96C5F" w:rsidP="00C96C5F">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b/>
                <w:bCs/>
                <w:color w:val="000000" w:themeColor="text1"/>
                <w:sz w:val="24"/>
                <w:szCs w:val="24"/>
              </w:rPr>
              <w:t>Function</w:t>
            </w:r>
          </w:p>
        </w:tc>
        <w:tc>
          <w:tcPr>
            <w:tcW w:w="1872" w:type="dxa"/>
            <w:shd w:val="clear" w:color="auto" w:fill="FFFFFF" w:themeFill="background1"/>
            <w:tcMar>
              <w:top w:w="80" w:type="dxa"/>
              <w:left w:w="120" w:type="dxa"/>
              <w:bottom w:w="80" w:type="dxa"/>
              <w:right w:w="120" w:type="dxa"/>
            </w:tcMar>
          </w:tcPr>
          <w:p w14:paraId="4CA872B9" w14:textId="77777777" w:rsidR="00C96C5F" w:rsidRPr="00C96C5F" w:rsidRDefault="00C96C5F" w:rsidP="00C96C5F">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b/>
                <w:bCs/>
                <w:color w:val="000000" w:themeColor="text1"/>
                <w:sz w:val="24"/>
                <w:szCs w:val="24"/>
              </w:rPr>
              <w:t>Present in all 6?</w:t>
            </w:r>
          </w:p>
        </w:tc>
      </w:tr>
      <w:tr w:rsidR="00C96C5F" w:rsidRPr="00C96C5F" w14:paraId="130D3D38" w14:textId="77777777" w:rsidTr="00C96C5F">
        <w:tblPrEx>
          <w:tblCellMar>
            <w:top w:w="0" w:type="dxa"/>
            <w:bottom w:w="0" w:type="dxa"/>
          </w:tblCellMar>
        </w:tblPrEx>
        <w:tc>
          <w:tcPr>
            <w:tcW w:w="1872" w:type="dxa"/>
            <w:shd w:val="clear" w:color="auto" w:fill="FFFFFF" w:themeFill="background1"/>
            <w:tcMar>
              <w:top w:w="60" w:type="dxa"/>
              <w:left w:w="120" w:type="dxa"/>
              <w:bottom w:w="60" w:type="dxa"/>
              <w:right w:w="120" w:type="dxa"/>
            </w:tcMar>
          </w:tcPr>
          <w:p w14:paraId="1C8A5EAF" w14:textId="77777777" w:rsidR="00C96C5F" w:rsidRPr="00C96C5F" w:rsidRDefault="00C96C5F" w:rsidP="00C96C5F">
            <w:pPr>
              <w:spacing w:line="276" w:lineRule="auto"/>
              <w:jc w:val="both"/>
              <w:rPr>
                <w:rFonts w:ascii="Times New Roman" w:hAnsi="Times New Roman" w:cs="Times New Roman"/>
                <w:color w:val="000000" w:themeColor="text1"/>
                <w:sz w:val="24"/>
                <w:szCs w:val="24"/>
              </w:rPr>
            </w:pPr>
            <w:proofErr w:type="spellStart"/>
            <w:r w:rsidRPr="00C96C5F">
              <w:rPr>
                <w:rFonts w:ascii="Times New Roman" w:hAnsi="Times New Roman" w:cs="Times New Roman"/>
                <w:color w:val="000000" w:themeColor="text1"/>
                <w:sz w:val="24"/>
                <w:szCs w:val="24"/>
              </w:rPr>
              <w:t>Heme</w:t>
            </w:r>
            <w:proofErr w:type="spellEnd"/>
            <w:r w:rsidRPr="00C96C5F">
              <w:rPr>
                <w:rFonts w:ascii="Times New Roman" w:hAnsi="Times New Roman" w:cs="Times New Roman"/>
                <w:color w:val="000000" w:themeColor="text1"/>
                <w:sz w:val="24"/>
                <w:szCs w:val="24"/>
              </w:rPr>
              <w:t>-binding Cys</w:t>
            </w:r>
          </w:p>
        </w:tc>
        <w:tc>
          <w:tcPr>
            <w:tcW w:w="1872" w:type="dxa"/>
            <w:shd w:val="clear" w:color="auto" w:fill="FFFFFF" w:themeFill="background1"/>
            <w:tcMar>
              <w:top w:w="60" w:type="dxa"/>
              <w:left w:w="120" w:type="dxa"/>
              <w:bottom w:w="60" w:type="dxa"/>
              <w:right w:w="120" w:type="dxa"/>
            </w:tcMar>
          </w:tcPr>
          <w:p w14:paraId="035F2556" w14:textId="77777777" w:rsidR="00C96C5F" w:rsidRPr="00C96C5F" w:rsidRDefault="00C96C5F" w:rsidP="00C96C5F">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455–464</w:t>
            </w:r>
          </w:p>
        </w:tc>
        <w:tc>
          <w:tcPr>
            <w:tcW w:w="1872" w:type="dxa"/>
            <w:shd w:val="clear" w:color="auto" w:fill="FFFFFF" w:themeFill="background1"/>
            <w:tcMar>
              <w:top w:w="60" w:type="dxa"/>
              <w:left w:w="120" w:type="dxa"/>
              <w:bottom w:w="60" w:type="dxa"/>
              <w:right w:w="120" w:type="dxa"/>
            </w:tcMar>
          </w:tcPr>
          <w:p w14:paraId="74280BD6" w14:textId="77777777" w:rsidR="00C96C5F" w:rsidRPr="00C96C5F" w:rsidRDefault="00C96C5F" w:rsidP="00C96C5F">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1.00 (100%)</w:t>
            </w:r>
          </w:p>
        </w:tc>
        <w:tc>
          <w:tcPr>
            <w:tcW w:w="1872" w:type="dxa"/>
            <w:shd w:val="clear" w:color="auto" w:fill="FFFFFF" w:themeFill="background1"/>
            <w:tcMar>
              <w:top w:w="60" w:type="dxa"/>
              <w:left w:w="120" w:type="dxa"/>
              <w:bottom w:w="60" w:type="dxa"/>
              <w:right w:w="120" w:type="dxa"/>
            </w:tcMar>
          </w:tcPr>
          <w:p w14:paraId="3F5B0867" w14:textId="77777777" w:rsidR="00C96C5F" w:rsidRPr="00C96C5F" w:rsidRDefault="00C96C5F" w:rsidP="00C96C5F">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Iron coordination / electron transfer</w:t>
            </w:r>
          </w:p>
        </w:tc>
        <w:tc>
          <w:tcPr>
            <w:tcW w:w="1872" w:type="dxa"/>
            <w:shd w:val="clear" w:color="auto" w:fill="FFFFFF" w:themeFill="background1"/>
            <w:tcMar>
              <w:top w:w="60" w:type="dxa"/>
              <w:left w:w="120" w:type="dxa"/>
              <w:bottom w:w="60" w:type="dxa"/>
              <w:right w:w="120" w:type="dxa"/>
            </w:tcMar>
          </w:tcPr>
          <w:p w14:paraId="225E3468" w14:textId="77777777" w:rsidR="00C96C5F" w:rsidRPr="00C96C5F" w:rsidRDefault="00C96C5F" w:rsidP="00C96C5F">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Yes</w:t>
            </w:r>
          </w:p>
        </w:tc>
      </w:tr>
      <w:tr w:rsidR="00C96C5F" w:rsidRPr="00C96C5F" w14:paraId="47089512" w14:textId="77777777" w:rsidTr="00C96C5F">
        <w:tblPrEx>
          <w:tblCellMar>
            <w:top w:w="0" w:type="dxa"/>
            <w:bottom w:w="0" w:type="dxa"/>
          </w:tblCellMar>
        </w:tblPrEx>
        <w:tc>
          <w:tcPr>
            <w:tcW w:w="1872" w:type="dxa"/>
            <w:shd w:val="clear" w:color="auto" w:fill="FFFFFF" w:themeFill="background1"/>
            <w:tcMar>
              <w:top w:w="60" w:type="dxa"/>
              <w:left w:w="120" w:type="dxa"/>
              <w:bottom w:w="60" w:type="dxa"/>
              <w:right w:w="120" w:type="dxa"/>
            </w:tcMar>
          </w:tcPr>
          <w:p w14:paraId="7DF25319" w14:textId="77777777" w:rsidR="00C96C5F" w:rsidRPr="00C96C5F" w:rsidRDefault="00C96C5F" w:rsidP="00C96C5F">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ExxR meander</w:t>
            </w:r>
          </w:p>
        </w:tc>
        <w:tc>
          <w:tcPr>
            <w:tcW w:w="1872" w:type="dxa"/>
            <w:shd w:val="clear" w:color="auto" w:fill="FFFFFF" w:themeFill="background1"/>
            <w:tcMar>
              <w:top w:w="60" w:type="dxa"/>
              <w:left w:w="120" w:type="dxa"/>
              <w:bottom w:w="60" w:type="dxa"/>
              <w:right w:w="120" w:type="dxa"/>
            </w:tcMar>
          </w:tcPr>
          <w:p w14:paraId="546AEA68" w14:textId="77777777" w:rsidR="00C96C5F" w:rsidRPr="00C96C5F" w:rsidRDefault="00C96C5F" w:rsidP="00C96C5F">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433–436</w:t>
            </w:r>
          </w:p>
        </w:tc>
        <w:tc>
          <w:tcPr>
            <w:tcW w:w="1872" w:type="dxa"/>
            <w:shd w:val="clear" w:color="auto" w:fill="FFFFFF" w:themeFill="background1"/>
            <w:tcMar>
              <w:top w:w="60" w:type="dxa"/>
              <w:left w:w="120" w:type="dxa"/>
              <w:bottom w:w="60" w:type="dxa"/>
              <w:right w:w="120" w:type="dxa"/>
            </w:tcMar>
          </w:tcPr>
          <w:p w14:paraId="24AF693B" w14:textId="77777777" w:rsidR="00C96C5F" w:rsidRPr="00C96C5F" w:rsidRDefault="00C96C5F" w:rsidP="00C96C5F">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0.92 (92%)</w:t>
            </w:r>
          </w:p>
        </w:tc>
        <w:tc>
          <w:tcPr>
            <w:tcW w:w="1872" w:type="dxa"/>
            <w:shd w:val="clear" w:color="auto" w:fill="FFFFFF" w:themeFill="background1"/>
            <w:tcMar>
              <w:top w:w="60" w:type="dxa"/>
              <w:left w:w="120" w:type="dxa"/>
              <w:bottom w:w="60" w:type="dxa"/>
              <w:right w:w="120" w:type="dxa"/>
            </w:tcMar>
          </w:tcPr>
          <w:p w14:paraId="7864C0EA" w14:textId="77777777" w:rsidR="00C96C5F" w:rsidRPr="00C96C5F" w:rsidRDefault="00C96C5F" w:rsidP="00C96C5F">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Structural stability / salt bridge</w:t>
            </w:r>
          </w:p>
        </w:tc>
        <w:tc>
          <w:tcPr>
            <w:tcW w:w="1872" w:type="dxa"/>
            <w:shd w:val="clear" w:color="auto" w:fill="FFFFFF" w:themeFill="background1"/>
            <w:tcMar>
              <w:top w:w="60" w:type="dxa"/>
              <w:left w:w="120" w:type="dxa"/>
              <w:bottom w:w="60" w:type="dxa"/>
              <w:right w:w="120" w:type="dxa"/>
            </w:tcMar>
          </w:tcPr>
          <w:p w14:paraId="4C49D1F5" w14:textId="77777777" w:rsidR="00C96C5F" w:rsidRPr="00C96C5F" w:rsidRDefault="00C96C5F" w:rsidP="00C96C5F">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Yes</w:t>
            </w:r>
          </w:p>
        </w:tc>
      </w:tr>
      <w:tr w:rsidR="00C96C5F" w:rsidRPr="00C96C5F" w14:paraId="0E3F8239" w14:textId="77777777" w:rsidTr="00C96C5F">
        <w:tblPrEx>
          <w:tblCellMar>
            <w:top w:w="0" w:type="dxa"/>
            <w:bottom w:w="0" w:type="dxa"/>
          </w:tblCellMar>
        </w:tblPrEx>
        <w:tc>
          <w:tcPr>
            <w:tcW w:w="1872" w:type="dxa"/>
            <w:shd w:val="clear" w:color="auto" w:fill="FFFFFF" w:themeFill="background1"/>
            <w:tcMar>
              <w:top w:w="60" w:type="dxa"/>
              <w:left w:w="120" w:type="dxa"/>
              <w:bottom w:w="60" w:type="dxa"/>
              <w:right w:w="120" w:type="dxa"/>
            </w:tcMar>
          </w:tcPr>
          <w:p w14:paraId="2F4BB10D" w14:textId="77777777" w:rsidR="00C96C5F" w:rsidRPr="00C96C5F" w:rsidRDefault="00C96C5F" w:rsidP="00C96C5F">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 xml:space="preserve">I-helix </w:t>
            </w:r>
            <w:proofErr w:type="spellStart"/>
            <w:r w:rsidRPr="00C96C5F">
              <w:rPr>
                <w:rFonts w:ascii="Times New Roman" w:hAnsi="Times New Roman" w:cs="Times New Roman"/>
                <w:color w:val="000000" w:themeColor="text1"/>
                <w:sz w:val="24"/>
                <w:szCs w:val="24"/>
              </w:rPr>
              <w:t>Thr</w:t>
            </w:r>
            <w:proofErr w:type="spellEnd"/>
          </w:p>
        </w:tc>
        <w:tc>
          <w:tcPr>
            <w:tcW w:w="1872" w:type="dxa"/>
            <w:shd w:val="clear" w:color="auto" w:fill="FFFFFF" w:themeFill="background1"/>
            <w:tcMar>
              <w:top w:w="60" w:type="dxa"/>
              <w:left w:w="120" w:type="dxa"/>
              <w:bottom w:w="60" w:type="dxa"/>
              <w:right w:w="120" w:type="dxa"/>
            </w:tcMar>
          </w:tcPr>
          <w:p w14:paraId="05D40D94" w14:textId="77777777" w:rsidR="00C96C5F" w:rsidRPr="00C96C5F" w:rsidRDefault="00C96C5F" w:rsidP="00C96C5F">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317–325</w:t>
            </w:r>
          </w:p>
        </w:tc>
        <w:tc>
          <w:tcPr>
            <w:tcW w:w="1872" w:type="dxa"/>
            <w:shd w:val="clear" w:color="auto" w:fill="FFFFFF" w:themeFill="background1"/>
            <w:tcMar>
              <w:top w:w="60" w:type="dxa"/>
              <w:left w:w="120" w:type="dxa"/>
              <w:bottom w:w="60" w:type="dxa"/>
              <w:right w:w="120" w:type="dxa"/>
            </w:tcMar>
          </w:tcPr>
          <w:p w14:paraId="33198FAD" w14:textId="77777777" w:rsidR="00C96C5F" w:rsidRPr="00C96C5F" w:rsidRDefault="00C96C5F" w:rsidP="00C96C5F">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0.83 (83%)</w:t>
            </w:r>
          </w:p>
        </w:tc>
        <w:tc>
          <w:tcPr>
            <w:tcW w:w="1872" w:type="dxa"/>
            <w:shd w:val="clear" w:color="auto" w:fill="FFFFFF" w:themeFill="background1"/>
            <w:tcMar>
              <w:top w:w="60" w:type="dxa"/>
              <w:left w:w="120" w:type="dxa"/>
              <w:bottom w:w="60" w:type="dxa"/>
              <w:right w:w="120" w:type="dxa"/>
            </w:tcMar>
          </w:tcPr>
          <w:p w14:paraId="76A9C06D" w14:textId="77777777" w:rsidR="00C96C5F" w:rsidRPr="00C96C5F" w:rsidRDefault="00C96C5F" w:rsidP="00C96C5F">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Proton delivery to active site</w:t>
            </w:r>
          </w:p>
        </w:tc>
        <w:tc>
          <w:tcPr>
            <w:tcW w:w="1872" w:type="dxa"/>
            <w:shd w:val="clear" w:color="auto" w:fill="FFFFFF" w:themeFill="background1"/>
            <w:tcMar>
              <w:top w:w="60" w:type="dxa"/>
              <w:left w:w="120" w:type="dxa"/>
              <w:bottom w:w="60" w:type="dxa"/>
              <w:right w:w="120" w:type="dxa"/>
            </w:tcMar>
          </w:tcPr>
          <w:p w14:paraId="69481AF8" w14:textId="77777777" w:rsidR="00C96C5F" w:rsidRPr="00C96C5F" w:rsidRDefault="00C96C5F" w:rsidP="00C96C5F">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5/6</w:t>
            </w:r>
          </w:p>
        </w:tc>
      </w:tr>
      <w:tr w:rsidR="00C96C5F" w:rsidRPr="00C96C5F" w14:paraId="324DD5EB" w14:textId="77777777" w:rsidTr="00C96C5F">
        <w:tblPrEx>
          <w:tblCellMar>
            <w:top w:w="0" w:type="dxa"/>
            <w:bottom w:w="0" w:type="dxa"/>
          </w:tblCellMar>
        </w:tblPrEx>
        <w:tc>
          <w:tcPr>
            <w:tcW w:w="1872" w:type="dxa"/>
            <w:shd w:val="clear" w:color="auto" w:fill="FFFFFF" w:themeFill="background1"/>
            <w:tcMar>
              <w:top w:w="60" w:type="dxa"/>
              <w:left w:w="120" w:type="dxa"/>
              <w:bottom w:w="60" w:type="dxa"/>
              <w:right w:w="120" w:type="dxa"/>
            </w:tcMar>
          </w:tcPr>
          <w:p w14:paraId="35738E4A" w14:textId="77777777" w:rsidR="00C96C5F" w:rsidRPr="00C96C5F" w:rsidRDefault="00C96C5F" w:rsidP="00C96C5F">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K-helix region</w:t>
            </w:r>
          </w:p>
        </w:tc>
        <w:tc>
          <w:tcPr>
            <w:tcW w:w="1872" w:type="dxa"/>
            <w:shd w:val="clear" w:color="auto" w:fill="FFFFFF" w:themeFill="background1"/>
            <w:tcMar>
              <w:top w:w="60" w:type="dxa"/>
              <w:left w:w="120" w:type="dxa"/>
              <w:bottom w:w="60" w:type="dxa"/>
              <w:right w:w="120" w:type="dxa"/>
            </w:tcMar>
          </w:tcPr>
          <w:p w14:paraId="2D266E99" w14:textId="77777777" w:rsidR="00C96C5F" w:rsidRPr="00C96C5F" w:rsidRDefault="00C96C5F" w:rsidP="00C96C5F">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354–364</w:t>
            </w:r>
          </w:p>
        </w:tc>
        <w:tc>
          <w:tcPr>
            <w:tcW w:w="1872" w:type="dxa"/>
            <w:shd w:val="clear" w:color="auto" w:fill="FFFFFF" w:themeFill="background1"/>
            <w:tcMar>
              <w:top w:w="60" w:type="dxa"/>
              <w:left w:w="120" w:type="dxa"/>
              <w:bottom w:w="60" w:type="dxa"/>
              <w:right w:w="120" w:type="dxa"/>
            </w:tcMar>
          </w:tcPr>
          <w:p w14:paraId="366DA286" w14:textId="77777777" w:rsidR="00C96C5F" w:rsidRPr="00C96C5F" w:rsidRDefault="00C96C5F" w:rsidP="00C96C5F">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0.78 (78%)</w:t>
            </w:r>
          </w:p>
        </w:tc>
        <w:tc>
          <w:tcPr>
            <w:tcW w:w="1872" w:type="dxa"/>
            <w:shd w:val="clear" w:color="auto" w:fill="FFFFFF" w:themeFill="background1"/>
            <w:tcMar>
              <w:top w:w="60" w:type="dxa"/>
              <w:left w:w="120" w:type="dxa"/>
              <w:bottom w:w="60" w:type="dxa"/>
              <w:right w:w="120" w:type="dxa"/>
            </w:tcMar>
          </w:tcPr>
          <w:p w14:paraId="2700B856" w14:textId="77777777" w:rsidR="00C96C5F" w:rsidRPr="00C96C5F" w:rsidRDefault="00C96C5F" w:rsidP="00C96C5F">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Core fold stability</w:t>
            </w:r>
          </w:p>
        </w:tc>
        <w:tc>
          <w:tcPr>
            <w:tcW w:w="1872" w:type="dxa"/>
            <w:shd w:val="clear" w:color="auto" w:fill="FFFFFF" w:themeFill="background1"/>
            <w:tcMar>
              <w:top w:w="60" w:type="dxa"/>
              <w:left w:w="120" w:type="dxa"/>
              <w:bottom w:w="60" w:type="dxa"/>
              <w:right w:w="120" w:type="dxa"/>
            </w:tcMar>
          </w:tcPr>
          <w:p w14:paraId="61AC83EC" w14:textId="77777777" w:rsidR="00C96C5F" w:rsidRPr="00C96C5F" w:rsidRDefault="00C96C5F" w:rsidP="00C96C5F">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Yes (variable)</w:t>
            </w:r>
          </w:p>
        </w:tc>
      </w:tr>
      <w:tr w:rsidR="00C96C5F" w:rsidRPr="00C96C5F" w14:paraId="5326EDFB" w14:textId="77777777" w:rsidTr="00C96C5F">
        <w:tblPrEx>
          <w:tblCellMar>
            <w:top w:w="0" w:type="dxa"/>
            <w:bottom w:w="0" w:type="dxa"/>
          </w:tblCellMar>
        </w:tblPrEx>
        <w:tc>
          <w:tcPr>
            <w:tcW w:w="1872" w:type="dxa"/>
            <w:shd w:val="clear" w:color="auto" w:fill="FFFFFF" w:themeFill="background1"/>
            <w:tcMar>
              <w:top w:w="60" w:type="dxa"/>
              <w:left w:w="120" w:type="dxa"/>
              <w:bottom w:w="60" w:type="dxa"/>
              <w:right w:w="120" w:type="dxa"/>
            </w:tcMar>
          </w:tcPr>
          <w:p w14:paraId="6F146266" w14:textId="77777777" w:rsidR="00C96C5F" w:rsidRPr="00C96C5F" w:rsidRDefault="00C96C5F" w:rsidP="00C96C5F">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lastRenderedPageBreak/>
              <w:t>SRS1 (B'-helix)</w:t>
            </w:r>
          </w:p>
        </w:tc>
        <w:tc>
          <w:tcPr>
            <w:tcW w:w="1872" w:type="dxa"/>
            <w:shd w:val="clear" w:color="auto" w:fill="FFFFFF" w:themeFill="background1"/>
            <w:tcMar>
              <w:top w:w="60" w:type="dxa"/>
              <w:left w:w="120" w:type="dxa"/>
              <w:bottom w:w="60" w:type="dxa"/>
              <w:right w:w="120" w:type="dxa"/>
            </w:tcMar>
          </w:tcPr>
          <w:p w14:paraId="7C0FCE93" w14:textId="77777777" w:rsidR="00C96C5F" w:rsidRPr="00C96C5F" w:rsidRDefault="00C96C5F" w:rsidP="00C96C5F">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101–120</w:t>
            </w:r>
          </w:p>
        </w:tc>
        <w:tc>
          <w:tcPr>
            <w:tcW w:w="1872" w:type="dxa"/>
            <w:shd w:val="clear" w:color="auto" w:fill="FFFFFF" w:themeFill="background1"/>
            <w:tcMar>
              <w:top w:w="60" w:type="dxa"/>
              <w:left w:w="120" w:type="dxa"/>
              <w:bottom w:w="60" w:type="dxa"/>
              <w:right w:w="120" w:type="dxa"/>
            </w:tcMar>
          </w:tcPr>
          <w:p w14:paraId="0574D06C" w14:textId="77777777" w:rsidR="00C96C5F" w:rsidRPr="00C96C5F" w:rsidRDefault="00C96C5F" w:rsidP="00C96C5F">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0.31 (31%)</w:t>
            </w:r>
          </w:p>
        </w:tc>
        <w:tc>
          <w:tcPr>
            <w:tcW w:w="1872" w:type="dxa"/>
            <w:shd w:val="clear" w:color="auto" w:fill="FFFFFF" w:themeFill="background1"/>
            <w:tcMar>
              <w:top w:w="60" w:type="dxa"/>
              <w:left w:w="120" w:type="dxa"/>
              <w:bottom w:w="60" w:type="dxa"/>
              <w:right w:w="120" w:type="dxa"/>
            </w:tcMar>
          </w:tcPr>
          <w:p w14:paraId="6D6C6BD0" w14:textId="77777777" w:rsidR="00C96C5F" w:rsidRPr="00C96C5F" w:rsidRDefault="00C96C5F" w:rsidP="00C96C5F">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Substrate recognition</w:t>
            </w:r>
          </w:p>
        </w:tc>
        <w:tc>
          <w:tcPr>
            <w:tcW w:w="1872" w:type="dxa"/>
            <w:shd w:val="clear" w:color="auto" w:fill="FFFFFF" w:themeFill="background1"/>
            <w:tcMar>
              <w:top w:w="60" w:type="dxa"/>
              <w:left w:w="120" w:type="dxa"/>
              <w:bottom w:w="60" w:type="dxa"/>
              <w:right w:w="120" w:type="dxa"/>
            </w:tcMar>
          </w:tcPr>
          <w:p w14:paraId="73710DAF" w14:textId="77777777" w:rsidR="00C96C5F" w:rsidRPr="00C96C5F" w:rsidRDefault="00C96C5F" w:rsidP="00C96C5F">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Partially</w:t>
            </w:r>
          </w:p>
        </w:tc>
      </w:tr>
      <w:tr w:rsidR="00C96C5F" w:rsidRPr="00C96C5F" w14:paraId="287BA6C7" w14:textId="77777777" w:rsidTr="00C96C5F">
        <w:tblPrEx>
          <w:tblCellMar>
            <w:top w:w="0" w:type="dxa"/>
            <w:bottom w:w="0" w:type="dxa"/>
          </w:tblCellMar>
        </w:tblPrEx>
        <w:tc>
          <w:tcPr>
            <w:tcW w:w="1872" w:type="dxa"/>
            <w:shd w:val="clear" w:color="auto" w:fill="FFFFFF" w:themeFill="background1"/>
            <w:tcMar>
              <w:top w:w="60" w:type="dxa"/>
              <w:left w:w="120" w:type="dxa"/>
              <w:bottom w:w="60" w:type="dxa"/>
              <w:right w:w="120" w:type="dxa"/>
            </w:tcMar>
          </w:tcPr>
          <w:p w14:paraId="17849652" w14:textId="77777777" w:rsidR="00C96C5F" w:rsidRPr="00C96C5F" w:rsidRDefault="00C96C5F" w:rsidP="00C96C5F">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SRS6 (beta4)</w:t>
            </w:r>
          </w:p>
        </w:tc>
        <w:tc>
          <w:tcPr>
            <w:tcW w:w="1872" w:type="dxa"/>
            <w:shd w:val="clear" w:color="auto" w:fill="FFFFFF" w:themeFill="background1"/>
            <w:tcMar>
              <w:top w:w="60" w:type="dxa"/>
              <w:left w:w="120" w:type="dxa"/>
              <w:bottom w:w="60" w:type="dxa"/>
              <w:right w:w="120" w:type="dxa"/>
            </w:tcMar>
          </w:tcPr>
          <w:p w14:paraId="54877CFD" w14:textId="77777777" w:rsidR="00C96C5F" w:rsidRPr="00C96C5F" w:rsidRDefault="00C96C5F" w:rsidP="00C96C5F">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471–490</w:t>
            </w:r>
          </w:p>
        </w:tc>
        <w:tc>
          <w:tcPr>
            <w:tcW w:w="1872" w:type="dxa"/>
            <w:shd w:val="clear" w:color="auto" w:fill="FFFFFF" w:themeFill="background1"/>
            <w:tcMar>
              <w:top w:w="60" w:type="dxa"/>
              <w:left w:w="120" w:type="dxa"/>
              <w:bottom w:w="60" w:type="dxa"/>
              <w:right w:w="120" w:type="dxa"/>
            </w:tcMar>
          </w:tcPr>
          <w:p w14:paraId="6CD2CE66" w14:textId="77777777" w:rsidR="00C96C5F" w:rsidRPr="00C96C5F" w:rsidRDefault="00C96C5F" w:rsidP="00C96C5F">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0.28 (28%)</w:t>
            </w:r>
          </w:p>
        </w:tc>
        <w:tc>
          <w:tcPr>
            <w:tcW w:w="1872" w:type="dxa"/>
            <w:shd w:val="clear" w:color="auto" w:fill="FFFFFF" w:themeFill="background1"/>
            <w:tcMar>
              <w:top w:w="60" w:type="dxa"/>
              <w:left w:w="120" w:type="dxa"/>
              <w:bottom w:w="60" w:type="dxa"/>
              <w:right w:w="120" w:type="dxa"/>
            </w:tcMar>
          </w:tcPr>
          <w:p w14:paraId="6E450CBF" w14:textId="77777777" w:rsidR="00C96C5F" w:rsidRPr="00C96C5F" w:rsidRDefault="00C96C5F" w:rsidP="00C96C5F">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Substrate recognition</w:t>
            </w:r>
          </w:p>
        </w:tc>
        <w:tc>
          <w:tcPr>
            <w:tcW w:w="1872" w:type="dxa"/>
            <w:shd w:val="clear" w:color="auto" w:fill="FFFFFF" w:themeFill="background1"/>
            <w:tcMar>
              <w:top w:w="60" w:type="dxa"/>
              <w:left w:w="120" w:type="dxa"/>
              <w:bottom w:w="60" w:type="dxa"/>
              <w:right w:w="120" w:type="dxa"/>
            </w:tcMar>
          </w:tcPr>
          <w:p w14:paraId="6A06F897" w14:textId="77777777" w:rsidR="00C96C5F" w:rsidRPr="00C96C5F" w:rsidRDefault="00C96C5F" w:rsidP="00C96C5F">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Partially</w:t>
            </w:r>
          </w:p>
        </w:tc>
      </w:tr>
    </w:tbl>
    <w:p w14:paraId="2AB9E5AE" w14:textId="77777777" w:rsidR="00C96C5F" w:rsidRPr="00C96C5F" w:rsidRDefault="00C96C5F" w:rsidP="00C96C5F">
      <w:pPr>
        <w:pStyle w:val="Heading2"/>
        <w:spacing w:line="276" w:lineRule="auto"/>
        <w:jc w:val="both"/>
        <w:rPr>
          <w:rFonts w:ascii="Times New Roman" w:hAnsi="Times New Roman" w:cs="Times New Roman"/>
          <w:color w:val="000000" w:themeColor="text1"/>
          <w:sz w:val="24"/>
          <w:szCs w:val="24"/>
        </w:rPr>
      </w:pPr>
      <w:proofErr w:type="gramStart"/>
      <w:r w:rsidRPr="00C96C5F">
        <w:rPr>
          <w:rFonts w:ascii="Times New Roman" w:hAnsi="Times New Roman" w:cs="Times New Roman"/>
          <w:b/>
          <w:bCs/>
          <w:color w:val="000000" w:themeColor="text1"/>
          <w:sz w:val="24"/>
          <w:szCs w:val="24"/>
        </w:rPr>
        <w:t>2.5  Phylogenetic</w:t>
      </w:r>
      <w:proofErr w:type="gramEnd"/>
      <w:r w:rsidRPr="00C96C5F">
        <w:rPr>
          <w:rFonts w:ascii="Times New Roman" w:hAnsi="Times New Roman" w:cs="Times New Roman"/>
          <w:b/>
          <w:bCs/>
          <w:color w:val="000000" w:themeColor="text1"/>
          <w:sz w:val="24"/>
          <w:szCs w:val="24"/>
        </w:rPr>
        <w:t xml:space="preserve"> Implication</w:t>
      </w:r>
    </w:p>
    <w:p w14:paraId="38ACFF55" w14:textId="77777777" w:rsidR="00C96C5F" w:rsidRPr="00C96C5F" w:rsidRDefault="00C96C5F" w:rsidP="00C96C5F">
      <w:pPr>
        <w:spacing w:before="60" w:after="60"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 xml:space="preserve">The MSA reveals that bacterial CYPs (e.g., CYP101A1 from P. putida) share core structural motifs with eukaryotic counterparts despite low overall sequence identity (~20–30%). This confirms that the CYP fold and the </w:t>
      </w:r>
      <w:proofErr w:type="spellStart"/>
      <w:r w:rsidRPr="00C96C5F">
        <w:rPr>
          <w:rFonts w:ascii="Times New Roman" w:hAnsi="Times New Roman" w:cs="Times New Roman"/>
          <w:color w:val="000000" w:themeColor="text1"/>
          <w:sz w:val="24"/>
          <w:szCs w:val="24"/>
        </w:rPr>
        <w:t>heme</w:t>
      </w:r>
      <w:proofErr w:type="spellEnd"/>
      <w:r w:rsidRPr="00C96C5F">
        <w:rPr>
          <w:rFonts w:ascii="Times New Roman" w:hAnsi="Times New Roman" w:cs="Times New Roman"/>
          <w:color w:val="000000" w:themeColor="text1"/>
          <w:sz w:val="24"/>
          <w:szCs w:val="24"/>
        </w:rPr>
        <w:t>-iron catalytic mechanism were established in a common ancestral enzyme and have been maintained across ~3.5 billion years of evolution. The divergence in substrate-binding regions reflects adaptation to diverse metabolic niches.</w:t>
      </w:r>
    </w:p>
    <w:p w14:paraId="5FCC1F6B" w14:textId="77777777" w:rsidR="00C96C5F" w:rsidRPr="00C96C5F" w:rsidRDefault="00C96C5F" w:rsidP="00C96C5F">
      <w:pPr>
        <w:pStyle w:val="Heading2"/>
        <w:spacing w:line="276" w:lineRule="auto"/>
        <w:jc w:val="both"/>
        <w:rPr>
          <w:rFonts w:ascii="Times New Roman" w:hAnsi="Times New Roman" w:cs="Times New Roman"/>
          <w:color w:val="000000" w:themeColor="text1"/>
          <w:sz w:val="24"/>
          <w:szCs w:val="24"/>
        </w:rPr>
      </w:pPr>
      <w:proofErr w:type="gramStart"/>
      <w:r w:rsidRPr="00C96C5F">
        <w:rPr>
          <w:rFonts w:ascii="Times New Roman" w:hAnsi="Times New Roman" w:cs="Times New Roman"/>
          <w:b/>
          <w:bCs/>
          <w:color w:val="000000" w:themeColor="text1"/>
          <w:sz w:val="24"/>
          <w:szCs w:val="24"/>
        </w:rPr>
        <w:t>2.6  Conclusion</w:t>
      </w:r>
      <w:proofErr w:type="gramEnd"/>
    </w:p>
    <w:p w14:paraId="34DE26E9" w14:textId="77777777" w:rsidR="00C96C5F" w:rsidRPr="00C96C5F" w:rsidRDefault="00C96C5F" w:rsidP="00C96C5F">
      <w:pPr>
        <w:spacing w:before="60" w:after="60"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 xml:space="preserve">The MSA of six Cytochrome P450 sequences using </w:t>
      </w:r>
      <w:proofErr w:type="spellStart"/>
      <w:r w:rsidRPr="00C96C5F">
        <w:rPr>
          <w:rFonts w:ascii="Times New Roman" w:hAnsi="Times New Roman" w:cs="Times New Roman"/>
          <w:color w:val="000000" w:themeColor="text1"/>
          <w:sz w:val="24"/>
          <w:szCs w:val="24"/>
        </w:rPr>
        <w:t>Clustal</w:t>
      </w:r>
      <w:proofErr w:type="spellEnd"/>
      <w:r w:rsidRPr="00C96C5F">
        <w:rPr>
          <w:rFonts w:ascii="Times New Roman" w:hAnsi="Times New Roman" w:cs="Times New Roman"/>
          <w:color w:val="000000" w:themeColor="text1"/>
          <w:sz w:val="24"/>
          <w:szCs w:val="24"/>
        </w:rPr>
        <w:t xml:space="preserve"> Omega and MUSCLE revealed three universally conserved motifs: the </w:t>
      </w:r>
      <w:proofErr w:type="spellStart"/>
      <w:r w:rsidRPr="00C96C5F">
        <w:rPr>
          <w:rFonts w:ascii="Times New Roman" w:hAnsi="Times New Roman" w:cs="Times New Roman"/>
          <w:color w:val="000000" w:themeColor="text1"/>
          <w:sz w:val="24"/>
          <w:szCs w:val="24"/>
        </w:rPr>
        <w:t>heme</w:t>
      </w:r>
      <w:proofErr w:type="spellEnd"/>
      <w:r w:rsidRPr="00C96C5F">
        <w:rPr>
          <w:rFonts w:ascii="Times New Roman" w:hAnsi="Times New Roman" w:cs="Times New Roman"/>
          <w:color w:val="000000" w:themeColor="text1"/>
          <w:sz w:val="24"/>
          <w:szCs w:val="24"/>
        </w:rPr>
        <w:t>-binding cysteine loop, the ExxR meander motif, and the I-helix threonine. These conserved elements define the essential structural and catalytic scaffold of the CYP superfamily. In contrast, the substrate recognition sites show high variability, explaining the broad substrate diversity observed across CYP isoforms. These findings have direct implications for rational drug design and CYP-based drug-drug interaction prediction.</w:t>
      </w:r>
    </w:p>
    <w:p w14:paraId="341D4997" w14:textId="235573AC" w:rsidR="007774F6" w:rsidRPr="00C96C5F" w:rsidRDefault="007774F6" w:rsidP="00C96C5F">
      <w:pPr>
        <w:spacing w:line="276" w:lineRule="auto"/>
        <w:jc w:val="both"/>
        <w:rPr>
          <w:rFonts w:ascii="Times New Roman" w:hAnsi="Times New Roman" w:cs="Times New Roman"/>
          <w:color w:val="000000" w:themeColor="text1"/>
          <w:sz w:val="24"/>
          <w:szCs w:val="24"/>
        </w:rPr>
      </w:pPr>
    </w:p>
    <w:sectPr w:rsidR="007774F6" w:rsidRPr="00C96C5F" w:rsidSect="00C96C5F">
      <w:headerReference w:type="default" r:id="rId5"/>
      <w:footerReference w:type="default" r:id="rId6"/>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72068" w14:textId="77777777" w:rsidR="00C96C5F" w:rsidRDefault="00C96C5F">
    <w:pPr>
      <w:pBdr>
        <w:top w:val="single" w:sz="4" w:space="1" w:color="2B5FA6"/>
      </w:pBdr>
      <w:jc w:val="cen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F16C9" w14:textId="77777777" w:rsidR="00C96C5F" w:rsidRDefault="00C96C5F">
    <w:pPr>
      <w:pBdr>
        <w:bottom w:val="single" w:sz="4" w:space="1" w:color="2B5FA6"/>
      </w:pBd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163B2C"/>
    <w:multiLevelType w:val="hybridMultilevel"/>
    <w:tmpl w:val="7C48334E"/>
    <w:lvl w:ilvl="0" w:tplc="C958E952">
      <w:start w:val="1"/>
      <w:numFmt w:val="bullet"/>
      <w:lvlText w:val="•"/>
      <w:lvlJc w:val="left"/>
      <w:pPr>
        <w:ind w:left="720" w:hanging="360"/>
      </w:pPr>
    </w:lvl>
    <w:lvl w:ilvl="1" w:tplc="6AFE2E24">
      <w:numFmt w:val="decimal"/>
      <w:lvlText w:val=""/>
      <w:lvlJc w:val="left"/>
    </w:lvl>
    <w:lvl w:ilvl="2" w:tplc="7512B59E">
      <w:numFmt w:val="decimal"/>
      <w:lvlText w:val=""/>
      <w:lvlJc w:val="left"/>
    </w:lvl>
    <w:lvl w:ilvl="3" w:tplc="08B45530">
      <w:numFmt w:val="decimal"/>
      <w:lvlText w:val=""/>
      <w:lvlJc w:val="left"/>
    </w:lvl>
    <w:lvl w:ilvl="4" w:tplc="94063E9E">
      <w:numFmt w:val="decimal"/>
      <w:lvlText w:val=""/>
      <w:lvlJc w:val="left"/>
    </w:lvl>
    <w:lvl w:ilvl="5" w:tplc="B9F6C7C2">
      <w:numFmt w:val="decimal"/>
      <w:lvlText w:val=""/>
      <w:lvlJc w:val="left"/>
    </w:lvl>
    <w:lvl w:ilvl="6" w:tplc="0E38C0BA">
      <w:numFmt w:val="decimal"/>
      <w:lvlText w:val=""/>
      <w:lvlJc w:val="left"/>
    </w:lvl>
    <w:lvl w:ilvl="7" w:tplc="31829714">
      <w:numFmt w:val="decimal"/>
      <w:lvlText w:val=""/>
      <w:lvlJc w:val="left"/>
    </w:lvl>
    <w:lvl w:ilvl="8" w:tplc="78665604">
      <w:numFmt w:val="decimal"/>
      <w:lvlText w:val=""/>
      <w:lvlJc w:val="left"/>
    </w:lvl>
  </w:abstractNum>
  <w:num w:numId="1" w16cid:durableId="11925679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C5F"/>
    <w:rsid w:val="003101D1"/>
    <w:rsid w:val="00323D4A"/>
    <w:rsid w:val="007774F6"/>
    <w:rsid w:val="00C168B2"/>
    <w:rsid w:val="00C96C5F"/>
    <w:rsid w:val="00F530E8"/>
    <w:rsid w:val="00FC79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2701A"/>
  <w15:chartTrackingRefBased/>
  <w15:docId w15:val="{66C86E18-CDC1-42AC-8B8D-139B467CA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6C5F"/>
    <w:pPr>
      <w:spacing w:after="0" w:line="240" w:lineRule="auto"/>
    </w:pPr>
    <w:rPr>
      <w:rFonts w:ascii="Calibri" w:eastAsia="Calibri" w:hAnsi="Calibri" w:cs="Calibri"/>
      <w:kern w:val="0"/>
      <w:sz w:val="22"/>
      <w:szCs w:val="22"/>
      <w:lang w:eastAsia="en-IN"/>
      <w14:ligatures w14:val="none"/>
    </w:rPr>
  </w:style>
  <w:style w:type="paragraph" w:styleId="Heading1">
    <w:name w:val="heading 1"/>
    <w:basedOn w:val="Normal"/>
    <w:next w:val="Normal"/>
    <w:link w:val="Heading1Char"/>
    <w:uiPriority w:val="9"/>
    <w:qFormat/>
    <w:rsid w:val="00C96C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96C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6C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6C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6C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6C5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6C5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6C5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6C5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6C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96C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6C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6C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6C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6C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6C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6C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6C5F"/>
    <w:rPr>
      <w:rFonts w:eastAsiaTheme="majorEastAsia" w:cstheme="majorBidi"/>
      <w:color w:val="272727" w:themeColor="text1" w:themeTint="D8"/>
    </w:rPr>
  </w:style>
  <w:style w:type="paragraph" w:styleId="Title">
    <w:name w:val="Title"/>
    <w:basedOn w:val="Normal"/>
    <w:next w:val="Normal"/>
    <w:link w:val="TitleChar"/>
    <w:uiPriority w:val="10"/>
    <w:qFormat/>
    <w:rsid w:val="00C96C5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6C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C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6C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6C5F"/>
    <w:pPr>
      <w:spacing w:before="160"/>
      <w:jc w:val="center"/>
    </w:pPr>
    <w:rPr>
      <w:i/>
      <w:iCs/>
      <w:color w:val="404040" w:themeColor="text1" w:themeTint="BF"/>
    </w:rPr>
  </w:style>
  <w:style w:type="character" w:customStyle="1" w:styleId="QuoteChar">
    <w:name w:val="Quote Char"/>
    <w:basedOn w:val="DefaultParagraphFont"/>
    <w:link w:val="Quote"/>
    <w:uiPriority w:val="29"/>
    <w:rsid w:val="00C96C5F"/>
    <w:rPr>
      <w:i/>
      <w:iCs/>
      <w:color w:val="404040" w:themeColor="text1" w:themeTint="BF"/>
    </w:rPr>
  </w:style>
  <w:style w:type="paragraph" w:styleId="ListParagraph">
    <w:name w:val="List Paragraph"/>
    <w:basedOn w:val="Normal"/>
    <w:qFormat/>
    <w:rsid w:val="00C96C5F"/>
    <w:pPr>
      <w:ind w:left="720"/>
      <w:contextualSpacing/>
    </w:pPr>
  </w:style>
  <w:style w:type="character" w:styleId="IntenseEmphasis">
    <w:name w:val="Intense Emphasis"/>
    <w:basedOn w:val="DefaultParagraphFont"/>
    <w:uiPriority w:val="21"/>
    <w:qFormat/>
    <w:rsid w:val="00C96C5F"/>
    <w:rPr>
      <w:i/>
      <w:iCs/>
      <w:color w:val="0F4761" w:themeColor="accent1" w:themeShade="BF"/>
    </w:rPr>
  </w:style>
  <w:style w:type="paragraph" w:styleId="IntenseQuote">
    <w:name w:val="Intense Quote"/>
    <w:basedOn w:val="Normal"/>
    <w:next w:val="Normal"/>
    <w:link w:val="IntenseQuoteChar"/>
    <w:uiPriority w:val="30"/>
    <w:qFormat/>
    <w:rsid w:val="00C96C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6C5F"/>
    <w:rPr>
      <w:i/>
      <w:iCs/>
      <w:color w:val="0F4761" w:themeColor="accent1" w:themeShade="BF"/>
    </w:rPr>
  </w:style>
  <w:style w:type="character" w:styleId="IntenseReference">
    <w:name w:val="Intense Reference"/>
    <w:basedOn w:val="DefaultParagraphFont"/>
    <w:uiPriority w:val="32"/>
    <w:qFormat/>
    <w:rsid w:val="00C96C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701</Words>
  <Characters>3999</Characters>
  <Application>Microsoft Office Word</Application>
  <DocSecurity>0</DocSecurity>
  <Lines>33</Lines>
  <Paragraphs>9</Paragraphs>
  <ScaleCrop>false</ScaleCrop>
  <Company/>
  <LinksUpToDate>false</LinksUpToDate>
  <CharactersWithSpaces>4691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Avanthy Sumi</dc:creator>
  <cp:keywords/>
  <dc:description/>
  <cp:lastModifiedBy>Avanthy Sumi</cp:lastModifiedBy>
  <cp:revision>3</cp:revision>
  <dcterms:created xsi:type="dcterms:W3CDTF">2026-06-10T15:31:00Z</dcterms:created>
  <dcterms:modified xsi:type="dcterms:W3CDTF">2026-06-10T15:42:00Z</dcterms:modified>
</cp:coreProperties>
</file>