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spacing w:after="200"/>
        <w:jc w:val="center"/>
      </w:pPr>
      <w:r>
        <w:rPr>
          <w:rFonts w:ascii="Times New Roman" w:cs="Times New Roman" w:eastAsia="Times New Roman" w:hAnsi="Times New Roman"/>
          <w:b/>
          <w:bCs/>
          <w:color w:val="020617"/>
          <w:sz w:val="60"/>
          <w:szCs w:val="60"/>
        </w:rPr>
        <w:t xml:space="preserve">SMART MONEY</w:t>
      </w:r>
    </w:p>
    <w:p>
      <w:pPr>
        <w:spacing w:after="100"/>
        <w:jc w:val="center"/>
      </w:pPr>
      <w:r>
        <w:rPr>
          <w:rFonts w:ascii="Times New Roman" w:cs="Times New Roman" w:eastAsia="Times New Roman" w:hAnsi="Times New Roman"/>
          <w:b/>
          <w:bCs/>
          <w:color w:val="020617"/>
          <w:sz w:val="60"/>
          <w:szCs w:val="60"/>
        </w:rPr>
        <w:t xml:space="preserve">SCORING SYSTEM</w:t>
      </w:r>
    </w:p>
    <w:p>
      <w:pPr>
        <w:spacing w:after="600" w:before="100"/>
        <w:jc w:val="center"/>
      </w:pPr>
      <w:r>
        <w:rPr>
          <w:rFonts w:ascii="Calibri" w:cs="Calibri" w:eastAsia="Calibri" w:hAnsi="Calibri"/>
          <w:color w:val="64748B"/>
          <w:sz w:val="28"/>
          <w:szCs w:val="28"/>
        </w:rPr>
        <w:t xml:space="preserve">Pine Script Setup &amp; Bot Integration Guide</w:t>
      </w:r>
    </w:p>
    <w:p>
      <w:pPr>
        <w:spacing w:after="50"/>
        <w:jc w:val="center"/>
      </w:pPr>
      <w:r>
        <w:rPr>
          <w:color w:val="94A3B8"/>
          <w:sz w:val="20"/>
          <w:szCs w:val="20"/>
        </w:rPr>
        <w:t xml:space="preserve">──────────────────────────────</w:t>
      </w:r>
    </w:p>
    <w:p>
      <w:pPr>
        <w:spacing w:after="100"/>
        <w:jc w:val="center"/>
      </w:pPr>
      <w:r>
        <w:rPr>
          <w:rFonts w:ascii="Calibri" w:cs="Calibri" w:eastAsia="Calibri" w:hAnsi="Calibri"/>
          <w:color w:val="64748B"/>
          <w:sz w:val="22"/>
          <w:szCs w:val="22"/>
        </w:rPr>
        <w:t xml:space="preserve">Phase 1: Market Analysis (60 points)</w:t>
      </w:r>
    </w:p>
    <w:p>
      <w:pPr>
        <w:spacing w:after="100"/>
        <w:jc w:val="center"/>
      </w:pPr>
      <w:r>
        <w:rPr>
          <w:rFonts w:ascii="Calibri" w:cs="Calibri" w:eastAsia="Calibri" w:hAnsi="Calibri"/>
          <w:color w:val="64748B"/>
          <w:sz w:val="22"/>
          <w:szCs w:val="22"/>
        </w:rPr>
        <w:t xml:space="preserve">Phase 2: Smart Money Concepts (40 points)</w:t>
      </w:r>
    </w:p>
    <w:p>
      <w:pPr>
        <w:spacing w:after="100"/>
        <w:jc w:val="center"/>
      </w:pPr>
      <w:r>
        <w:rPr>
          <w:rFonts w:ascii="Calibri" w:cs="Calibri" w:eastAsia="Calibri" w:hAnsi="Calibri"/>
          <w:color w:val="64748B"/>
          <w:sz w:val="22"/>
          <w:szCs w:val="22"/>
        </w:rPr>
        <w:t xml:space="preserve">Dynamic R:R Based on Confidence</w:t>
      </w:r>
    </w:p>
    <w:p>
      <w:pPr>
        <w:spacing w:before="3000"/>
      </w:pPr>
    </w:p>
    <w:p>
      <w:pPr>
        <w:jc w:val="center"/>
      </w:pPr>
      <w:r>
        <w:rPr>
          <w:rFonts w:ascii="Calibri" w:cs="Calibri" w:eastAsia="Calibri" w:hAnsi="Calibri"/>
          <w:color w:val="94A3B8"/>
          <w:sz w:val="20"/>
          <w:szCs w:val="20"/>
        </w:rPr>
        <w:t xml:space="preserve">TradingView Pine Script v5  |  Claude-Powered Bot Architecture</w:t>
      </w:r>
    </w:p>
    <w:p>
      <w:pPr>
        <w:sectPr>
          <w:pgSz w:w="11906" w:h="16838" w:orient="portrait"/>
          <w:pgMar w:top="0" w:right="0" w:bottom="0" w:left="0" w:header="708" w:footer="708" w:gutter="0"/>
          <w:pgNumType/>
          <w:titlePg/>
          <w:docGrid w:linePitch="360"/>
        </w:sectPr>
      </w:pPr>
    </w:p>
    <w:sdt>
      <w:sdtPr>
        <w:alias w:val="Table of Contents"/>
      </w:sdtPr>
      <w:sdtContent>
        <w:p>
          <w:r>
            <w:fldChar w:fldCharType="begin" w:dirty="true"/>
            <w:instrText xml:space="preserve">TOC \h \o "1-2"</w:instrText>
            <w:fldChar w:fldCharType="separate"/>
          </w:r>
        </w:p>
        <w:p>
          <w:pPr>
            <w:pStyle w:val="9"/>
            <w:tabs>
              <w:tab w:val="right" w:leader="dot" w:pos="9026"/>
            </w:tabs>
          </w:pPr>
          <w:r>
            <w:t>System Overview</w:t>
          </w:r>
          <w:r>
            <w:tab/>
          </w:r>
          <w:r>
            <w:t>1</w:t>
          </w:r>
        </w:p>
        <w:p>
          <w:pPr>
            <w:pStyle w:val="11"/>
            <w:ind w:left="360"/>
            <w:tabs>
              <w:tab w:val="right" w:leader="dot" w:pos="9026"/>
            </w:tabs>
          </w:pPr>
          <w:r>
            <w:t>Architecture Flow</w:t>
          </w:r>
          <w:r>
            <w:tab/>
          </w:r>
          <w:r>
            <w:t>1</w:t>
          </w:r>
        </w:p>
        <w:p>
          <w:pPr>
            <w:pStyle w:val="9"/>
            <w:tabs>
              <w:tab w:val="right" w:leader="dot" w:pos="9026"/>
            </w:tabs>
          </w:pPr>
          <w:r>
            <w:t>TradingView Setup Guide</w:t>
          </w:r>
          <w:r>
            <w:tab/>
          </w:r>
          <w:r>
            <w:t>2</w:t>
          </w:r>
        </w:p>
        <w:p>
          <w:pPr>
            <w:pStyle w:val="11"/>
            <w:ind w:left="360"/>
            <w:tabs>
              <w:tab w:val="right" w:leader="dot" w:pos="9026"/>
            </w:tabs>
          </w:pPr>
          <w:r>
            <w:t>Step-by-Step Installation</w:t>
          </w:r>
          <w:r>
            <w:tab/>
          </w:r>
          <w:r>
            <w:t>2</w:t>
          </w:r>
        </w:p>
        <w:p>
          <w:pPr>
            <w:pStyle w:val="11"/>
            <w:ind w:left="360"/>
            <w:tabs>
              <w:tab w:val="right" w:leader="dot" w:pos="9026"/>
            </w:tabs>
          </w:pPr>
          <w:r>
            <w:t>Configuring Your Account Parameters</w:t>
          </w:r>
          <w:r>
            <w:tab/>
          </w:r>
          <w:r>
            <w:t>3</w:t>
          </w:r>
        </w:p>
        <w:p>
          <w:pPr>
            <w:pStyle w:val="11"/>
            <w:ind w:left="360"/>
            <w:tabs>
              <w:tab w:val="right" w:leader="dot" w:pos="9026"/>
            </w:tabs>
          </w:pPr>
          <w:r>
            <w:t>Reading the Dashboard</w:t>
          </w:r>
          <w:r>
            <w:tab/>
          </w:r>
          <w:r>
            <w:t>4</w:t>
          </w:r>
        </w:p>
        <w:p>
          <w:pPr>
            <w:pStyle w:val="9"/>
            <w:tabs>
              <w:tab w:val="right" w:leader="dot" w:pos="9026"/>
            </w:tabs>
          </w:pPr>
          <w:r>
            <w:t>Phase 1: Market Analysis (60 Points)</w:t>
          </w:r>
          <w:r>
            <w:tab/>
          </w:r>
          <w:r>
            <w:t>4</w:t>
          </w:r>
        </w:p>
        <w:p>
          <w:pPr>
            <w:pStyle w:val="11"/>
            <w:ind w:left="360"/>
            <w:tabs>
              <w:tab w:val="right" w:leader="dot" w:pos="9026"/>
            </w:tabs>
          </w:pPr>
          <w:r>
            <w:t>Session Detection (8 points max)</w:t>
          </w:r>
          <w:r>
            <w:tab/>
          </w:r>
          <w:r>
            <w:t>4</w:t>
          </w:r>
        </w:p>
        <w:p>
          <w:pPr>
            <w:pStyle w:val="11"/>
            <w:ind w:left="360"/>
            <w:tabs>
              <w:tab w:val="right" w:leader="dot" w:pos="9026"/>
            </w:tabs>
          </w:pPr>
          <w:r>
            <w:t>4H Trend Direction (12 points max)</w:t>
          </w:r>
          <w:r>
            <w:tab/>
          </w:r>
          <w:r>
            <w:t>5</w:t>
          </w:r>
        </w:p>
        <w:p>
          <w:pPr>
            <w:pStyle w:val="11"/>
            <w:ind w:left="360"/>
            <w:tabs>
              <w:tab w:val="right" w:leader="dot" w:pos="9026"/>
            </w:tabs>
          </w:pPr>
          <w:r>
            <w:t>1H Trend Confirmation (12 points max)</w:t>
          </w:r>
          <w:r>
            <w:tab/>
          </w:r>
          <w:r>
            <w:t>5</w:t>
          </w:r>
        </w:p>
        <w:p>
          <w:pPr>
            <w:pStyle w:val="11"/>
            <w:ind w:left="360"/>
            <w:tabs>
              <w:tab w:val="right" w:leader="dot" w:pos="9026"/>
            </w:tabs>
          </w:pPr>
          <w:r>
            <w:t>4H Indicator Confluence (14 points max)</w:t>
          </w:r>
          <w:r>
            <w:tab/>
          </w:r>
          <w:r>
            <w:t>6</w:t>
          </w:r>
        </w:p>
        <w:p>
          <w:pPr>
            <w:pStyle w:val="11"/>
            <w:ind w:left="360"/>
            <w:tabs>
              <w:tab w:val="right" w:leader="dot" w:pos="9026"/>
            </w:tabs>
          </w:pPr>
          <w:r>
            <w:t>15min Entry Indicators (14 points max)</w:t>
          </w:r>
          <w:r>
            <w:tab/>
          </w:r>
          <w:r>
            <w:t>6</w:t>
          </w:r>
        </w:p>
        <w:p>
          <w:pPr>
            <w:pStyle w:val="9"/>
            <w:tabs>
              <w:tab w:val="right" w:leader="dot" w:pos="9026"/>
            </w:tabs>
          </w:pPr>
          <w:r>
            <w:t>Phase 2: Smart Money Concepts (40 Points)</w:t>
          </w:r>
          <w:r>
            <w:tab/>
          </w:r>
          <w:r>
            <w:t>7</w:t>
          </w:r>
        </w:p>
        <w:p>
          <w:pPr>
            <w:pStyle w:val="11"/>
            <w:ind w:left="360"/>
            <w:tabs>
              <w:tab w:val="right" w:leader="dot" w:pos="9026"/>
            </w:tabs>
          </w:pPr>
          <w:r>
            <w:t>Market Structure: BoS and ChoCH (8 points max)</w:t>
          </w:r>
          <w:r>
            <w:tab/>
          </w:r>
          <w:r>
            <w:t>7</w:t>
          </w:r>
        </w:p>
        <w:p>
          <w:pPr>
            <w:pStyle w:val="11"/>
            <w:ind w:left="360"/>
            <w:tabs>
              <w:tab w:val="right" w:leader="dot" w:pos="9026"/>
            </w:tabs>
          </w:pPr>
          <w:r>
            <w:t>Order Blocks (7 points max)</w:t>
          </w:r>
          <w:r>
            <w:tab/>
          </w:r>
          <w:r>
            <w:t>7</w:t>
          </w:r>
        </w:p>
        <w:p>
          <w:pPr>
            <w:pStyle w:val="11"/>
            <w:ind w:left="360"/>
            <w:tabs>
              <w:tab w:val="right" w:leader="dot" w:pos="9026"/>
            </w:tabs>
          </w:pPr>
          <w:r>
            <w:t>Fair Value Gaps (5 points max)</w:t>
          </w:r>
          <w:r>
            <w:tab/>
          </w:r>
          <w:r>
            <w:t>8</w:t>
          </w:r>
        </w:p>
        <w:p>
          <w:pPr>
            <w:pStyle w:val="11"/>
            <w:ind w:left="360"/>
            <w:tabs>
              <w:tab w:val="right" w:leader="dot" w:pos="9026"/>
            </w:tabs>
          </w:pPr>
          <w:r>
            <w:t>Supply and Demand Zones (5 points max)</w:t>
          </w:r>
          <w:r>
            <w:tab/>
          </w:r>
          <w:r>
            <w:t>8</w:t>
          </w:r>
        </w:p>
        <w:p>
          <w:pPr>
            <w:pStyle w:val="11"/>
            <w:ind w:left="360"/>
            <w:tabs>
              <w:tab w:val="right" w:leader="dot" w:pos="9026"/>
            </w:tabs>
          </w:pPr>
          <w:r>
            <w:t>Liquidity Sweeps (5 points max)</w:t>
          </w:r>
          <w:r>
            <w:tab/>
          </w:r>
          <w:r>
            <w:t>9</w:t>
          </w:r>
        </w:p>
        <w:p>
          <w:pPr>
            <w:pStyle w:val="11"/>
            <w:ind w:left="360"/>
            <w:tabs>
              <w:tab w:val="right" w:leader="dot" w:pos="9026"/>
            </w:tabs>
          </w:pPr>
          <w:r>
            <w:t>Breakup Block and Fibonacci (8 points max combined)</w:t>
          </w:r>
          <w:r>
            <w:tab/>
          </w:r>
          <w:r>
            <w:t>9</w:t>
          </w:r>
        </w:p>
        <w:p>
          <w:pPr>
            <w:pStyle w:val="11"/>
            <w:ind w:left="360"/>
            <w:tabs>
              <w:tab w:val="right" w:leader="dot" w:pos="9026"/>
            </w:tabs>
          </w:pPr>
          <w:r>
            <w:t>Confluence Bonus (2 points max)</w:t>
          </w:r>
          <w:r>
            <w:tab/>
          </w:r>
          <w:r>
            <w:t>10</w:t>
          </w:r>
        </w:p>
        <w:p>
          <w:pPr>
            <w:pStyle w:val="9"/>
            <w:tabs>
              <w:tab w:val="right" w:leader="dot" w:pos="9026"/>
            </w:tabs>
          </w:pPr>
          <w:r>
            <w:t>Dynamic Risk-to-Reward Calculation</w:t>
          </w:r>
          <w:r>
            <w:tab/>
          </w:r>
          <w:r>
            <w:t>10</w:t>
          </w:r>
        </w:p>
        <w:p>
          <w:pPr>
            <w:pStyle w:val="11"/>
            <w:ind w:left="360"/>
            <w:tabs>
              <w:tab w:val="right" w:leader="dot" w:pos="9026"/>
            </w:tabs>
          </w:pPr>
          <w:r>
            <w:t>Score-Based R:R Tiers</w:t>
          </w:r>
          <w:r>
            <w:tab/>
          </w:r>
          <w:r>
            <w:t>10</w:t>
          </w:r>
        </w:p>
        <w:p>
          <w:pPr>
            <w:pStyle w:val="11"/>
            <w:ind w:left="360"/>
            <w:tabs>
              <w:tab w:val="right" w:leader="dot" w:pos="9026"/>
            </w:tabs>
          </w:pPr>
          <w:r>
            <w:t>Position Sizing and Stop Loss Calculation</w:t>
          </w:r>
          <w:r>
            <w:tab/>
          </w:r>
          <w:r>
            <w:t>11</w:t>
          </w:r>
        </w:p>
        <w:p>
          <w:pPr>
            <w:pStyle w:val="9"/>
            <w:tabs>
              <w:tab w:val="right" w:leader="dot" w:pos="9026"/>
            </w:tabs>
          </w:pPr>
          <w:r>
            <w:t>Visual Features Reference</w:t>
          </w:r>
          <w:r>
            <w:tab/>
          </w:r>
          <w:r>
            <w:t>11</w:t>
          </w:r>
        </w:p>
        <w:p>
          <w:pPr>
            <w:pStyle w:val="11"/>
            <w:ind w:left="360"/>
            <w:tabs>
              <w:tab w:val="right" w:leader="dot" w:pos="9026"/>
            </w:tabs>
          </w:pPr>
          <w:r>
            <w:t>Chart Elements</w:t>
          </w:r>
          <w:r>
            <w:tab/>
          </w:r>
          <w:r>
            <w:t>11</w:t>
          </w:r>
        </w:p>
        <w:p>
          <w:pPr>
            <w:pStyle w:val="9"/>
            <w:tabs>
              <w:tab w:val="right" w:leader="dot" w:pos="9026"/>
            </w:tabs>
          </w:pPr>
          <w:r>
            <w:t>Validation and Backtesting</w:t>
          </w:r>
          <w:r>
            <w:tab/>
          </w:r>
          <w:r>
            <w:t>12</w:t>
          </w:r>
        </w:p>
        <w:p>
          <w:pPr>
            <w:pStyle w:val="11"/>
            <w:ind w:left="360"/>
            <w:tabs>
              <w:tab w:val="right" w:leader="dot" w:pos="9026"/>
            </w:tabs>
          </w:pPr>
          <w:r>
            <w:t>How to Validate the System</w:t>
          </w:r>
          <w:r>
            <w:tab/>
          </w:r>
          <w:r>
            <w:t>12</w:t>
          </w:r>
        </w:p>
        <w:p>
          <w:pPr>
            <w:pStyle w:val="11"/>
            <w:ind w:left="360"/>
            <w:tabs>
              <w:tab w:val="right" w:leader="dot" w:pos="9026"/>
            </w:tabs>
          </w:pPr>
          <w:r>
            <w:t>Expected Performance Benchmarks</w:t>
          </w:r>
          <w:r>
            <w:tab/>
          </w:r>
          <w:r>
            <w:t>13</w:t>
          </w:r>
        </w:p>
        <w:p>
          <w:pPr>
            <w:pStyle w:val="9"/>
            <w:tabs>
              <w:tab w:val="right" w:leader="dot" w:pos="9026"/>
            </w:tabs>
          </w:pPr>
          <w:r>
            <w:t>Bot Integration Architecture</w:t>
          </w:r>
          <w:r>
            <w:tab/>
          </w:r>
          <w:r>
            <w:t>13</w:t>
          </w:r>
        </w:p>
        <w:p>
          <w:pPr>
            <w:pStyle w:val="11"/>
            <w:ind w:left="360"/>
            <w:tabs>
              <w:tab w:val="right" w:leader="dot" w:pos="9026"/>
            </w:tabs>
          </w:pPr>
          <w:r>
            <w:t>How Pine Script Connects to the Claude Bot</w:t>
          </w:r>
          <w:r>
            <w:tab/>
          </w:r>
          <w:r>
            <w:t>13</w:t>
          </w:r>
        </w:p>
        <w:p>
          <w:pPr>
            <w:pStyle w:val="11"/>
            <w:ind w:left="360"/>
            <w:tabs>
              <w:tab w:val="right" w:leader="dot" w:pos="9026"/>
            </w:tabs>
          </w:pPr>
          <w:r>
            <w:t>Integration Data Flow</w:t>
          </w:r>
          <w:r>
            <w:tab/>
          </w:r>
          <w:r>
            <w:t>15</w:t>
          </w:r>
        </w:p>
        <w:p>
          <w:pPr>
            <w:pStyle w:val="11"/>
            <w:ind w:left="360"/>
            <w:tabs>
              <w:tab w:val="right" w:leader="dot" w:pos="9026"/>
            </w:tabs>
          </w:pPr>
          <w:r>
            <w:t>Pine Script vs Claude Bot: Key Differences</w:t>
          </w:r>
          <w:r>
            <w:tab/>
          </w:r>
          <w:r>
            <w:t>15</w:t>
          </w:r>
        </w:p>
        <w:p>
          <w:pPr>
            <w:pStyle w:val="9"/>
            <w:tabs>
              <w:tab w:val="right" w:leader="dot" w:pos="9026"/>
            </w:tabs>
          </w:pPr>
          <w:r>
            <w:t>Troubleshooting</w:t>
          </w:r>
          <w:r>
            <w:tab/>
          </w:r>
          <w:r>
            <w:t>16</w:t>
          </w:r>
        </w:p>
        <w:p>
          <w:pPr>
            <w:pStyle w:val="11"/>
            <w:ind w:left="360"/>
            <w:tabs>
              <w:tab w:val="right" w:leader="dot" w:pos="9026"/>
            </w:tabs>
          </w:pPr>
          <w:r>
            <w:t>Common Issues and Solutions</w:t>
          </w:r>
          <w:r>
            <w:tab/>
          </w:r>
          <w:r>
            <w:t>16</w:t>
          </w:r>
        </w:p>
        <w:p>
          <w:r>
            <w:fldChar w:fldCharType="end"/>
          </w:r>
        </w:p>
      </w:sdtContent>
    </w:sdt>
    <w:p>
      <w:pPr>
        <w:spacing w:after="200" w:before="200"/>
        <w:jc w:val="center"/>
      </w:pPr>
      <w:r>
        <w:rPr>
          <w:rFonts w:ascii="Calibri" w:cs="Calibri" w:eastAsia="Calibri" w:hAnsi="Calibri"/>
          <w:color w:val="999999"/>
          <w:sz w:val="18"/>
          <w:szCs w:val="18"/>
        </w:rPr>
        <w:t xml:space="preserve">Note: Right-click the Table of Contents and select "Update Field" to refresh page numbers.</w:t>
      </w:r>
    </w:p>
    <w:p>
      <w:r>
        <w:br w:type="page"/>
      </w:r>
    </w:p>
    <w:p>
      <w:pPr>
        <w:pStyle w:val="Heading1"/>
        <w:spacing w:after="300" w:before="600"/>
      </w:pPr>
      <w:r>
        <w:rPr>
          <w:rFonts w:ascii="Times New Roman" w:cs="Times New Roman" w:eastAsia="Times New Roman" w:hAnsi="Times New Roman"/>
          <w:b/>
          <w:bCs/>
          <w:color w:val="020617"/>
          <w:sz w:val="36"/>
          <w:szCs w:val="36"/>
        </w:rPr>
        <w:t xml:space="preserve">System Overview</w:t>
      </w:r>
    </w:p>
    <w:p>
      <w:pPr>
        <w:spacing w:after="150" w:line="276"/>
      </w:pPr>
      <w:r>
        <w:rPr>
          <w:rFonts w:ascii="Calibri" w:cs="Calibri" w:eastAsia="Calibri" w:hAnsi="Calibri"/>
          <w:color w:val="1E293B"/>
          <w:sz w:val="22"/>
          <w:szCs w:val="22"/>
        </w:rPr>
        <w:t xml:space="preserve">The Smart Money Scoring System is a two-phase trade evaluation framework designed to replicate institutional-grade market analysis. Unlike traditional indicator-based systems that rely on a single signal, this architecture evaluates each potential trade across multiple dimensions simultaneously. Phase 1 examines macro market conditions using technical indicators across three timeframes (4H, 1H, 15min), trading session alignment, and trend confirmation. Phase 2 applies Smart Money Concepts (SMC) including market structure, order blocks, fair value gaps, liquidity sweeps, and Fibonacci confluence to pinpoint precise entry zones.</w:t>
      </w:r>
    </w:p>
    <w:p>
      <w:pPr>
        <w:spacing w:after="150" w:line="276"/>
      </w:pPr>
      <w:r>
        <w:rPr>
          <w:rFonts w:ascii="Calibri" w:cs="Calibri" w:eastAsia="Calibri" w:hAnsi="Calibri"/>
          <w:color w:val="1E293B"/>
          <w:sz w:val="22"/>
          <w:szCs w:val="22"/>
        </w:rPr>
        <w:t xml:space="preserve">The system produces a composite score from 0 to 100, with specific minimum thresholds for each phase independently. This dual-floor mechanism ensures that neither market conditions nor entry precision can compensate for weakness in the other. A trade requires both Phase 1 scoring at least 35 out of 60 points AND Phase 2 scoring at least 22 out of 40 points, with a total composite score of at least 60. Scores between 60 and 70 demand a minimum 1:3 risk-to-reward ratio to compensate for lower conviction, while scores above 70 require only 1:2 since the setup has stronger confluence.</w:t>
      </w:r>
    </w:p>
    <w:p>
      <w:pPr>
        <w:spacing w:after="150" w:line="276"/>
      </w:pPr>
      <w:r>
        <w:rPr>
          <w:rFonts w:ascii="Calibri" w:cs="Calibri" w:eastAsia="Calibri" w:hAnsi="Calibri"/>
          <w:color w:val="1E293B"/>
          <w:sz w:val="22"/>
          <w:szCs w:val="22"/>
        </w:rPr>
        <w:t xml:space="preserve">This Pine Script implementation serves as the visual validation layer for the broader Claude-powered automated trading bot. The same scoring logic, thresholds, and R:R calculations are implemented both in this script (for chart-based validation) and in the bot's backend (for automated execution). The Pine Script version uses rule-based detection algorithms for SMC concepts, while the Claude-powered version leverages LLM reasoning to analyze raw candle data with greater nuance and contextual understanding.</w:t>
      </w:r>
    </w:p>
    <w:p>
      <w:pPr>
        <w:pStyle w:val="Heading2"/>
        <w:spacing w:after="200" w:before="400"/>
      </w:pPr>
      <w:r>
        <w:rPr>
          <w:rFonts w:ascii="Times New Roman" w:cs="Times New Roman" w:eastAsia="Times New Roman" w:hAnsi="Times New Roman"/>
          <w:b/>
          <w:bCs/>
          <w:color w:val="020617"/>
          <w:sz w:val="28"/>
          <w:szCs w:val="28"/>
        </w:rPr>
        <w:t xml:space="preserve">Architecture Flow</w:t>
      </w:r>
    </w:p>
    <w:p>
      <w:pPr>
        <w:spacing w:after="150" w:line="276"/>
      </w:pPr>
      <w:r>
        <w:rPr>
          <w:rFonts w:ascii="Calibri" w:cs="Calibri" w:eastAsia="Calibri" w:hAnsi="Calibri"/>
          <w:color w:val="1E293B"/>
          <w:sz w:val="22"/>
          <w:szCs w:val="22"/>
        </w:rPr>
        <w:t xml:space="preserve">The system follows a strict evaluation pipeline that processes market data through increasingly specific filters. Each stage acts as a gate that must be passed before the next stage is evaluated, ensuring computational efficiency and preventing false positives from cascading through the analysis. The pipeline begins with account-level risk parameters that define the absolute boundaries of any potential trade, then moves through session validation, multi-timeframe trend analysis, indicator confluence scoring, Smart Money Concept evaluation, and finally dynamic R:R calculation based on the composite confidence score.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200"/>
        <w:gridCol w:w="3200"/>
        <w:gridCol w:w="3900"/>
      </w:tblGrid>
      <w:tr>
        <w:trPr>
          <w:tblHeader/>
        </w:trPr>
        <w:tc>
          <w:tcPr>
            <w:tcW w:type="dxa" w:w="22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Stage</w:t>
            </w:r>
          </w:p>
        </w:tc>
        <w:tc>
          <w:tcPr>
            <w:tcW w:type="dxa" w:w="32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Function</w:t>
            </w:r>
          </w:p>
        </w:tc>
        <w:tc>
          <w:tcPr>
            <w:tcW w:type="dxa" w:w="39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Output</w:t>
            </w:r>
          </w:p>
        </w:tc>
      </w:tr>
      <w:tr>
        <w:tc>
          <w:tcPr>
            <w:tcW w:type="dxa" w:w="22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1. User Config</w:t>
            </w:r>
          </w:p>
        </w:tc>
        <w:tc>
          <w:tcPr>
            <w:tcW w:type="dxa" w:w="32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Load account parameters</w:t>
            </w:r>
          </w:p>
        </w:tc>
        <w:tc>
          <w:tcPr>
            <w:tcW w:type="dxa" w:w="39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Max SL pips, lot size, risk budget</w:t>
            </w:r>
          </w:p>
        </w:tc>
      </w:tr>
      <w:tr>
        <w:tc>
          <w:tcPr>
            <w:tcW w:type="dxa" w:w="22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2. Session Gate</w:t>
            </w:r>
          </w:p>
        </w:tc>
        <w:tc>
          <w:tcPr>
            <w:tcW w:type="dxa" w:w="32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Verify active trading session</w:t>
            </w:r>
          </w:p>
        </w:tc>
        <w:tc>
          <w:tcPr>
            <w:tcW w:type="dxa" w:w="39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0-8 points, session name</w:t>
            </w:r>
          </w:p>
        </w:tc>
      </w:tr>
      <w:tr>
        <w:tc>
          <w:tcPr>
            <w:tcW w:type="dxa" w:w="22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3. 4H Analysis</w:t>
            </w:r>
          </w:p>
        </w:tc>
        <w:tc>
          <w:tcPr>
            <w:tcW w:type="dxa" w:w="32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Multi-timeframe trend direction</w:t>
            </w:r>
          </w:p>
        </w:tc>
        <w:tc>
          <w:tcPr>
            <w:tcW w:type="dxa" w:w="39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EMA, MACD, Supertrend, RSI</w:t>
            </w:r>
          </w:p>
        </w:tc>
      </w:tr>
      <w:tr>
        <w:tc>
          <w:tcPr>
            <w:tcW w:type="dxa" w:w="22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4. 1H Confirmation</w:t>
            </w:r>
          </w:p>
        </w:tc>
        <w:tc>
          <w:tcPr>
            <w:tcW w:type="dxa" w:w="32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Validate trend continuation</w:t>
            </w:r>
          </w:p>
        </w:tc>
        <w:tc>
          <w:tcPr>
            <w:tcW w:type="dxa" w:w="39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EMA alignment, RSI zone, volume</w:t>
            </w:r>
          </w:p>
        </w:tc>
      </w:tr>
      <w:tr>
        <w:tc>
          <w:tcPr>
            <w:tcW w:type="dxa" w:w="22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5. 15min Entry</w:t>
            </w:r>
          </w:p>
        </w:tc>
        <w:tc>
          <w:tcPr>
            <w:tcW w:type="dxa" w:w="32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Identify pullback entry zone</w:t>
            </w:r>
          </w:p>
        </w:tc>
        <w:tc>
          <w:tcPr>
            <w:tcW w:type="dxa" w:w="39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RSI, BB, MACD, proximity</w:t>
            </w:r>
          </w:p>
        </w:tc>
      </w:tr>
      <w:tr>
        <w:tc>
          <w:tcPr>
            <w:tcW w:type="dxa" w:w="22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6. Phase 1 Score</w:t>
            </w:r>
          </w:p>
        </w:tc>
        <w:tc>
          <w:tcPr>
            <w:tcW w:type="dxa" w:w="32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Sum market analysis points</w:t>
            </w:r>
          </w:p>
        </w:tc>
        <w:tc>
          <w:tcPr>
            <w:tcW w:type="dxa" w:w="39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X/60, pass/fail gate</w:t>
            </w:r>
          </w:p>
        </w:tc>
      </w:tr>
      <w:tr>
        <w:tc>
          <w:tcPr>
            <w:tcW w:type="dxa" w:w="22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7. SMC Analysis</w:t>
            </w:r>
          </w:p>
        </w:tc>
        <w:tc>
          <w:tcPr>
            <w:tcW w:type="dxa" w:w="32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Smart Money Concept detection</w:t>
            </w:r>
          </w:p>
        </w:tc>
        <w:tc>
          <w:tcPr>
            <w:tcW w:type="dxa" w:w="39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BoS, OB, FVG, liquidity, Fib</w:t>
            </w:r>
          </w:p>
        </w:tc>
      </w:tr>
      <w:tr>
        <w:tc>
          <w:tcPr>
            <w:tcW w:type="dxa" w:w="22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8. Phase 2 Score</w:t>
            </w:r>
          </w:p>
        </w:tc>
        <w:tc>
          <w:tcPr>
            <w:tcW w:type="dxa" w:w="32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Sum SMC analysis points</w:t>
            </w:r>
          </w:p>
        </w:tc>
        <w:tc>
          <w:tcPr>
            <w:tcW w:type="dxa" w:w="39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Y/40, pass/fail gate</w:t>
            </w:r>
          </w:p>
        </w:tc>
      </w:tr>
      <w:tr>
        <w:tc>
          <w:tcPr>
            <w:tcW w:type="dxa" w:w="22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9. Decision</w:t>
            </w:r>
          </w:p>
        </w:tc>
        <w:tc>
          <w:tcPr>
            <w:tcW w:type="dxa" w:w="32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Final evaluation and execution</w:t>
            </w:r>
          </w:p>
        </w:tc>
        <w:tc>
          <w:tcPr>
            <w:tcW w:type="dxa" w:w="39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Total score, R:R, entry/SL/TP</w:t>
            </w:r>
          </w:p>
        </w:tc>
      </w:tr>
    </w:tbl>
    <w:p>
      <w:pPr>
        <w:spacing w:after="200" w:before="80"/>
        <w:jc w:val="center"/>
      </w:pPr>
      <w:r>
        <w:rPr>
          <w:i/>
          <w:iCs/>
          <w:color w:val="64748B"/>
          <w:sz w:val="18"/>
          <w:szCs w:val="18"/>
        </w:rPr>
        <w:t xml:space="preserve">Table 1: System evaluation pipeline stages</w:t>
      </w:r>
    </w:p>
    <w:p>
      <w:pPr>
        <w:pStyle w:val="Heading1"/>
        <w:spacing w:after="300" w:before="600"/>
      </w:pPr>
      <w:r>
        <w:rPr>
          <w:rFonts w:ascii="Times New Roman" w:cs="Times New Roman" w:eastAsia="Times New Roman" w:hAnsi="Times New Roman"/>
          <w:b/>
          <w:bCs/>
          <w:color w:val="020617"/>
          <w:sz w:val="36"/>
          <w:szCs w:val="36"/>
        </w:rPr>
        <w:t xml:space="preserve">TradingView Setup Guide</w:t>
      </w:r>
    </w:p>
    <w:p>
      <w:pPr>
        <w:pStyle w:val="Heading2"/>
        <w:spacing w:after="200" w:before="400"/>
      </w:pPr>
      <w:r>
        <w:rPr>
          <w:rFonts w:ascii="Times New Roman" w:cs="Times New Roman" w:eastAsia="Times New Roman" w:hAnsi="Times New Roman"/>
          <w:b/>
          <w:bCs/>
          <w:color w:val="020617"/>
          <w:sz w:val="28"/>
          <w:szCs w:val="28"/>
        </w:rPr>
        <w:t xml:space="preserve">Step-by-Step Installation</w:t>
      </w:r>
    </w:p>
    <w:p>
      <w:pPr>
        <w:spacing w:after="150" w:line="276"/>
      </w:pPr>
      <w:r>
        <w:rPr>
          <w:rFonts w:ascii="Calibri" w:cs="Calibri" w:eastAsia="Calibri" w:hAnsi="Calibri"/>
          <w:color w:val="1E293B"/>
          <w:sz w:val="22"/>
          <w:szCs w:val="22"/>
        </w:rPr>
        <w:t xml:space="preserve">Installing the Pine Script in TradingView is straightforward and requires no programming knowledge. The entire process takes approximately two minutes and can be done on either the free or paid version of TradingView. Follow these steps exactly to ensure the script loads and functions correctly on your chart.</w:t>
      </w:r>
    </w:p>
    <w:p>
      <w:pPr>
        <w:pStyle w:val="ListParagraph"/>
        <w:numPr>
          <w:ilvl w:val="0"/>
          <w:numId w:val="2"/>
        </w:numPr>
        <w:spacing w:after="100" w:line="276"/>
      </w:pPr>
      <w:r>
        <w:rPr>
          <w:rFonts w:ascii="Calibri" w:cs="Calibri" w:eastAsia="Calibri" w:hAnsi="Calibri"/>
          <w:color w:val="1E293B"/>
          <w:sz w:val="22"/>
          <w:szCs w:val="22"/>
        </w:rPr>
        <w:t xml:space="preserve">Open TradingView and navigate to any currency pair chart (recommended: EURUSD, GBPUSD, or any major forex pair).</w:t>
      </w:r>
    </w:p>
    <w:p>
      <w:pPr>
        <w:pStyle w:val="ListParagraph"/>
        <w:numPr>
          <w:ilvl w:val="0"/>
          <w:numId w:val="2"/>
        </w:numPr>
        <w:spacing w:after="100" w:line="276"/>
      </w:pPr>
      <w:r>
        <w:rPr>
          <w:rFonts w:ascii="Calibri" w:cs="Calibri" w:eastAsia="Calibri" w:hAnsi="Calibri"/>
          <w:color w:val="1E293B"/>
          <w:sz w:val="22"/>
          <w:szCs w:val="22"/>
        </w:rPr>
        <w:t xml:space="preserve">Set the chart timeframe to 15 minutes. This is critical because the script uses 15-minute candles as the primary analysis timeframe and pulls higher timeframe data (1H and 4H) automatically using Pine Script's multi-timeframe request functions.</w:t>
      </w:r>
    </w:p>
    <w:p>
      <w:pPr>
        <w:pStyle w:val="ListParagraph"/>
        <w:numPr>
          <w:ilvl w:val="0"/>
          <w:numId w:val="2"/>
        </w:numPr>
        <w:spacing w:after="100" w:line="276"/>
      </w:pPr>
      <w:r>
        <w:rPr>
          <w:rFonts w:ascii="Calibri" w:cs="Calibri" w:eastAsia="Calibri" w:hAnsi="Calibri"/>
          <w:color w:val="1E293B"/>
          <w:sz w:val="22"/>
          <w:szCs w:val="22"/>
        </w:rPr>
        <w:t xml:space="preserve">Click the "Pine Editor" tab at the bottom of the TradingView window. This opens the code editor panel where Pine Scripts are written and modified.</w:t>
      </w:r>
    </w:p>
    <w:p>
      <w:pPr>
        <w:pStyle w:val="ListParagraph"/>
        <w:numPr>
          <w:ilvl w:val="0"/>
          <w:numId w:val="2"/>
        </w:numPr>
        <w:spacing w:after="100" w:line="276"/>
      </w:pPr>
      <w:r>
        <w:rPr>
          <w:rFonts w:ascii="Calibri" w:cs="Calibri" w:eastAsia="Calibri" w:hAnsi="Calibri"/>
          <w:color w:val="1E293B"/>
          <w:sz w:val="22"/>
          <w:szCs w:val="22"/>
        </w:rPr>
        <w:t xml:space="preserve">Delete all existing code in the editor (Ctrl+A, then Delete). The editor must be completely empty before pasting the new script to avoid syntax conflicts.</w:t>
      </w:r>
    </w:p>
    <w:p>
      <w:pPr>
        <w:pStyle w:val="ListParagraph"/>
        <w:numPr>
          <w:ilvl w:val="0"/>
          <w:numId w:val="2"/>
        </w:numPr>
        <w:spacing w:after="100" w:line="276"/>
      </w:pPr>
      <w:r>
        <w:rPr>
          <w:rFonts w:ascii="Calibri" w:cs="Calibri" w:eastAsia="Calibri" w:hAnsi="Calibri"/>
          <w:color w:val="1E293B"/>
          <w:sz w:val="22"/>
          <w:szCs w:val="22"/>
        </w:rPr>
        <w:t xml:space="preserve">Open the file "smart_money_scoring_system.pine" (included with this guide) and copy its entire contents to your clipboard. Alternatively, download the file from the project repository and open it in any text editor.</w:t>
      </w:r>
    </w:p>
    <w:p>
      <w:pPr>
        <w:pStyle w:val="ListParagraph"/>
        <w:numPr>
          <w:ilvl w:val="0"/>
          <w:numId w:val="2"/>
        </w:numPr>
        <w:spacing w:after="100" w:line="276"/>
      </w:pPr>
      <w:r>
        <w:rPr>
          <w:rFonts w:ascii="Calibri" w:cs="Calibri" w:eastAsia="Calibri" w:hAnsi="Calibri"/>
          <w:color w:val="1E293B"/>
          <w:sz w:val="22"/>
          <w:szCs w:val="22"/>
        </w:rPr>
        <w:t xml:space="preserve">Paste the copied code into the Pine Editor. The script should appear with syntax highlighting if TradingView recognizes it as valid Pine Script v5 code.</w:t>
      </w:r>
    </w:p>
    <w:p>
      <w:pPr>
        <w:pStyle w:val="ListParagraph"/>
        <w:numPr>
          <w:ilvl w:val="0"/>
          <w:numId w:val="2"/>
        </w:numPr>
        <w:spacing w:after="100" w:line="276"/>
      </w:pPr>
      <w:r>
        <w:rPr>
          <w:rFonts w:ascii="Calibri" w:cs="Calibri" w:eastAsia="Calibri" w:hAnsi="Calibri"/>
          <w:color w:val="1E293B"/>
          <w:sz w:val="22"/>
          <w:szCs w:val="22"/>
        </w:rPr>
        <w:t xml:space="preserve">Click "Add to Chart" button at the top of the Pine Editor panel. TradingView will compile the script and apply it to your chart. If there are any syntax errors, a red error message will appear in the console that you need to resolve before the script can be added.</w:t>
      </w:r>
    </w:p>
    <w:p>
      <w:pPr>
        <w:pStyle w:val="ListParagraph"/>
        <w:numPr>
          <w:ilvl w:val="0"/>
          <w:numId w:val="2"/>
        </w:numPr>
        <w:spacing w:after="100" w:line="276"/>
      </w:pPr>
      <w:r>
        <w:rPr>
          <w:rFonts w:ascii="Calibri" w:cs="Calibri" w:eastAsia="Calibri" w:hAnsi="Calibri"/>
          <w:color w:val="1E293B"/>
          <w:sz w:val="22"/>
          <w:szCs w:val="22"/>
        </w:rPr>
        <w:t xml:space="preserve">Once the script is added, you will see the scoring dashboard appear in the top-right corner of your chart. Entry signal arrows will appear on historical candles where the scoring conditions were met, allowing you to backtest visually immediately.</w:t>
      </w:r>
    </w:p>
    <w:p>
      <w:pPr>
        <w:pStyle w:val="Heading2"/>
        <w:spacing w:after="200" w:before="400"/>
      </w:pPr>
      <w:r>
        <w:rPr>
          <w:rFonts w:ascii="Times New Roman" w:cs="Times New Roman" w:eastAsia="Times New Roman" w:hAnsi="Times New Roman"/>
          <w:b/>
          <w:bCs/>
          <w:color w:val="020617"/>
          <w:sz w:val="28"/>
          <w:szCs w:val="28"/>
        </w:rPr>
        <w:t xml:space="preserve">Configuring Your Account Parameters</w:t>
      </w:r>
    </w:p>
    <w:p>
      <w:pPr>
        <w:spacing w:after="150" w:line="276"/>
      </w:pPr>
      <w:r>
        <w:rPr>
          <w:rFonts w:ascii="Calibri" w:cs="Calibri" w:eastAsia="Calibri" w:hAnsi="Calibri"/>
          <w:color w:val="1E293B"/>
          <w:sz w:val="22"/>
          <w:szCs w:val="22"/>
        </w:rPr>
        <w:t xml:space="preserve">Before the scoring system can accurately evaluate trades, you must configure your account-specific parameters. These settings mirror the values in the bot's config.json file and directly affect how the system calculates position sizing, stop loss limits, and overall risk management. Click the gear icon next to the script name on your chart to open the Settings panel, then adjust the following parameters: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600"/>
        <w:gridCol w:w="1800"/>
        <w:gridCol w:w="4900"/>
      </w:tblGrid>
      <w:tr>
        <w:trPr>
          <w:tblHeader/>
        </w:trPr>
        <w:tc>
          <w:tcPr>
            <w:tcW w:type="dxa" w:w="26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Parameter</w:t>
            </w:r>
          </w:p>
        </w:tc>
        <w:tc>
          <w:tcPr>
            <w:tcW w:type="dxa" w:w="18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Example Value</w:t>
            </w:r>
          </w:p>
        </w:tc>
        <w:tc>
          <w:tcPr>
            <w:tcW w:type="dxa" w:w="49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Description</w:t>
            </w:r>
          </w:p>
        </w:tc>
      </w:tr>
      <w:tr>
        <w:tc>
          <w:tcPr>
            <w:tcW w:type="dxa" w:w="2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Account Balance</w:t>
            </w:r>
          </w:p>
        </w:tc>
        <w:tc>
          <w:tcPr>
            <w:tcW w:type="dxa" w:w="18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$40</w:t>
            </w:r>
          </w:p>
        </w:tc>
        <w:tc>
          <w:tcPr>
            <w:tcW w:type="dxa" w:w="49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Your total account equity in USD</w:t>
            </w:r>
          </w:p>
        </w:tc>
      </w:tr>
      <w:tr>
        <w:tc>
          <w:tcPr>
            <w:tcW w:type="dxa" w:w="2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Max Loss Per Trade</w:t>
            </w:r>
          </w:p>
        </w:tc>
        <w:tc>
          <w:tcPr>
            <w:tcW w:type="dxa" w:w="18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$2</w:t>
            </w:r>
          </w:p>
        </w:tc>
        <w:tc>
          <w:tcPr>
            <w:tcW w:type="dxa" w:w="49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Maximum dollar amount you accept losing per trade</w:t>
            </w:r>
          </w:p>
        </w:tc>
      </w:tr>
      <w:tr>
        <w:tc>
          <w:tcPr>
            <w:tcW w:type="dxa" w:w="2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Spread (pips)</w:t>
            </w:r>
          </w:p>
        </w:tc>
        <w:tc>
          <w:tcPr>
            <w:tcW w:type="dxa" w:w="18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2</w:t>
            </w:r>
          </w:p>
        </w:tc>
        <w:tc>
          <w:tcPr>
            <w:tcW w:type="dxa" w:w="49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Your broker's typical spread on the pair</w:t>
            </w:r>
          </w:p>
        </w:tc>
      </w:tr>
      <w:tr>
        <w:tc>
          <w:tcPr>
            <w:tcW w:type="dxa" w:w="2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Leverage</w:t>
            </w:r>
          </w:p>
        </w:tc>
        <w:tc>
          <w:tcPr>
            <w:tcW w:type="dxa" w:w="18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1:3000</w:t>
            </w:r>
          </w:p>
        </w:tc>
        <w:tc>
          <w:tcPr>
            <w:tcW w:type="dxa" w:w="49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Your broker's maximum leverage ratio</w:t>
            </w:r>
          </w:p>
        </w:tc>
      </w:tr>
      <w:tr>
        <w:tc>
          <w:tcPr>
            <w:tcW w:type="dxa" w:w="2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Phase 1 Minimum</w:t>
            </w:r>
          </w:p>
        </w:tc>
        <w:tc>
          <w:tcPr>
            <w:tcW w:type="dxa" w:w="18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35</w:t>
            </w:r>
          </w:p>
        </w:tc>
        <w:tc>
          <w:tcPr>
            <w:tcW w:type="dxa" w:w="49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Minimum Phase 1 score (out of 60) to proceed</w:t>
            </w:r>
          </w:p>
        </w:tc>
      </w:tr>
      <w:tr>
        <w:tc>
          <w:tcPr>
            <w:tcW w:type="dxa" w:w="2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Phase 2 Minimum</w:t>
            </w:r>
          </w:p>
        </w:tc>
        <w:tc>
          <w:tcPr>
            <w:tcW w:type="dxa" w:w="18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22</w:t>
            </w:r>
          </w:p>
        </w:tc>
        <w:tc>
          <w:tcPr>
            <w:tcW w:type="dxa" w:w="49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Minimum Phase 2 score (out of 40) to proceed</w:t>
            </w:r>
          </w:p>
        </w:tc>
      </w:tr>
      <w:tr>
        <w:tc>
          <w:tcPr>
            <w:tcW w:type="dxa" w:w="2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Total Minimum</w:t>
            </w:r>
          </w:p>
        </w:tc>
        <w:tc>
          <w:tcPr>
            <w:tcW w:type="dxa" w:w="18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60</w:t>
            </w:r>
          </w:p>
        </w:tc>
        <w:tc>
          <w:tcPr>
            <w:tcW w:type="dxa" w:w="49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Minimum composite score (out of 100) for a trade</w:t>
            </w:r>
          </w:p>
        </w:tc>
      </w:tr>
    </w:tbl>
    <w:p>
      <w:pPr>
        <w:spacing w:after="200" w:before="80"/>
        <w:jc w:val="center"/>
      </w:pPr>
      <w:r>
        <w:rPr>
          <w:i/>
          <w:iCs/>
          <w:color w:val="64748B"/>
          <w:sz w:val="18"/>
          <w:szCs w:val="18"/>
        </w:rPr>
        <w:t xml:space="preserve">Table 2: Account parameter configuration</w:t>
      </w:r>
    </w:p>
    <w:p>
      <w:pPr>
        <w:pStyle w:val="Heading2"/>
        <w:spacing w:after="200" w:before="400"/>
      </w:pPr>
      <w:r>
        <w:rPr>
          <w:rFonts w:ascii="Times New Roman" w:cs="Times New Roman" w:eastAsia="Times New Roman" w:hAnsi="Times New Roman"/>
          <w:b/>
          <w:bCs/>
          <w:color w:val="020617"/>
          <w:sz w:val="28"/>
          <w:szCs w:val="28"/>
        </w:rPr>
        <w:t xml:space="preserve">Reading the Dashboard</w:t>
      </w:r>
    </w:p>
    <w:p>
      <w:pPr>
        <w:spacing w:after="150" w:line="276"/>
      </w:pPr>
      <w:r>
        <w:rPr>
          <w:rFonts w:ascii="Calibri" w:cs="Calibri" w:eastAsia="Calibri" w:hAnsi="Calibri"/>
          <w:color w:val="1E293B"/>
          <w:sz w:val="22"/>
          <w:szCs w:val="22"/>
        </w:rPr>
        <w:t xml:space="preserve">The scoring dashboard appears in the top-right corner of your chart and provides real-time evaluation of the current market conditions. It is divided into two main sections corresponding to the two analysis phases. Each section shows individual component scores alongside their maximum possible values, with color coding that provides instant visual feedback on the strength of each factor. Green cells indicate strong scoring (above the midpoint of that component's maximum), yellow cells indicate moderate scoring (around the midpoint), and red cells indicate weak or zero scoring.</w:t>
      </w:r>
    </w:p>
    <w:p>
      <w:pPr>
        <w:spacing w:after="150" w:line="276"/>
      </w:pPr>
      <w:r>
        <w:rPr>
          <w:rFonts w:ascii="Calibri" w:cs="Calibri" w:eastAsia="Calibri" w:hAnsi="Calibri"/>
          <w:color w:val="1E293B"/>
          <w:sz w:val="22"/>
          <w:szCs w:val="22"/>
        </w:rPr>
        <w:t xml:space="preserve">The Phase 1 section shows five components: Session (0-8 points), 4H Trend (0-12 points), 1H Trend (0-12 points), 4H Indicators (0-14 points), and 15min Entry (0-14 points). Below these, the Phase 1 Total is displayed with a pass/fail indicator based on your configured minimum threshold. The Phase 2 section shows seven components: Structure/BoS/ChoCH (0-8), Order Block (0-7), Fair Value Gap (0-5), Supply/Demand (0-5), Liquidity Sweep (0-5), BUOB + Fibonacci (0-8), and Confluence Bonus (0-2). The final row displays the total composite score, the master bias direction (BULL or BEAR), and the required risk-to-reward ratio.</w:t>
      </w:r>
    </w:p>
    <w:p>
      <w:pPr>
        <w:spacing w:after="150" w:line="276"/>
      </w:pPr>
      <w:r>
        <w:rPr>
          <w:rFonts w:ascii="Calibri" w:cs="Calibri" w:eastAsia="Calibri" w:hAnsi="Calibri"/>
          <w:color w:val="1E293B"/>
          <w:sz w:val="22"/>
          <w:szCs w:val="22"/>
        </w:rPr>
        <w:t xml:space="preserve">Entry signal arrows appear on the chart only when ALL three conditions are simultaneously met: Phase 1 passes its minimum, Phase 2 passes its minimum, and the total score meets the composite minimum. These signals are generated only on closed candles to prevent repainting, meaning the arrow appears at the open of the next candle after all conditions are confirmed. Each entry arrow displays the direction (BUY or SELL), the composite score, and the required R:R ratio.</w:t>
      </w:r>
    </w:p>
    <w:p>
      <w:pPr>
        <w:pStyle w:val="Heading1"/>
        <w:spacing w:after="300" w:before="600"/>
      </w:pPr>
      <w:r>
        <w:rPr>
          <w:rFonts w:ascii="Times New Roman" w:cs="Times New Roman" w:eastAsia="Times New Roman" w:hAnsi="Times New Roman"/>
          <w:b/>
          <w:bCs/>
          <w:color w:val="020617"/>
          <w:sz w:val="36"/>
          <w:szCs w:val="36"/>
        </w:rPr>
        <w:t xml:space="preserve">Phase 1: Market Analysis (60 Points)</w:t>
      </w:r>
    </w:p>
    <w:p>
      <w:pPr>
        <w:pStyle w:val="Heading2"/>
        <w:spacing w:after="200" w:before="400"/>
      </w:pPr>
      <w:r>
        <w:rPr>
          <w:rFonts w:ascii="Times New Roman" w:cs="Times New Roman" w:eastAsia="Times New Roman" w:hAnsi="Times New Roman"/>
          <w:b/>
          <w:bCs/>
          <w:color w:val="020617"/>
          <w:sz w:val="28"/>
          <w:szCs w:val="28"/>
        </w:rPr>
        <w:t xml:space="preserve">Session Detection (8 points max)</w:t>
      </w:r>
    </w:p>
    <w:p>
      <w:pPr>
        <w:spacing w:after="150" w:line="276"/>
      </w:pPr>
      <w:r>
        <w:rPr>
          <w:rFonts w:ascii="Calibri" w:cs="Calibri" w:eastAsia="Calibri" w:hAnsi="Calibri"/>
          <w:color w:val="1E293B"/>
          <w:sz w:val="22"/>
          <w:szCs w:val="22"/>
        </w:rPr>
        <w:t xml:space="preserve">The session component evaluates whether the current time falls within a high-liquidity trading window. Institutional volume and price movement are strongly correlated with active trading sessions, and trades taken during peak sessions have statistically higher success rates due to tighter spreads, deeper order books, and stronger directional conviction from market participants. The system assigns maximum points during session overlaps (when two major financial centers are simultaneously active) and progressively fewer points during single sessions or off-hours.</w:t>
      </w:r>
    </w:p>
    <w:p>
      <w:pPr>
        <w:pStyle w:val="ListParagraph"/>
        <w:numPr>
          <w:ilvl w:val="0"/>
          <w:numId w:val="3"/>
        </w:numPr>
        <w:spacing w:after="80" w:line="276"/>
      </w:pPr>
      <w:r>
        <w:rPr>
          <w:rFonts w:ascii="Calibri" w:cs="Calibri" w:eastAsia="Calibri" w:hAnsi="Calibri"/>
          <w:color w:val="1E293B"/>
          <w:sz w:val="22"/>
          <w:szCs w:val="22"/>
        </w:rPr>
        <w:t xml:space="preserve">London/New York Overlap: 8 points. This is the highest-volume window in forex, typically between 12:00-16:00 UTC. The overlap creates the deepest liquidity pools and most reliable technical patterns.</w:t>
      </w:r>
    </w:p>
    <w:p>
      <w:pPr>
        <w:pStyle w:val="ListParagraph"/>
        <w:numPr>
          <w:ilvl w:val="0"/>
          <w:numId w:val="3"/>
        </w:numPr>
        <w:spacing w:after="80" w:line="276"/>
      </w:pPr>
      <w:r>
        <w:rPr>
          <w:rFonts w:ascii="Calibri" w:cs="Calibri" w:eastAsia="Calibri" w:hAnsi="Calibri"/>
          <w:color w:val="1E293B"/>
          <w:sz w:val="22"/>
          <w:szCs w:val="22"/>
        </w:rPr>
        <w:t xml:space="preserve">London/Asian Overlap: 7 points. The early London session when Asian market orders are still flowing, creating directional momentum.</w:t>
      </w:r>
    </w:p>
    <w:p>
      <w:pPr>
        <w:pStyle w:val="ListParagraph"/>
        <w:numPr>
          <w:ilvl w:val="0"/>
          <w:numId w:val="3"/>
        </w:numPr>
        <w:spacing w:after="80" w:line="276"/>
      </w:pPr>
      <w:r>
        <w:rPr>
          <w:rFonts w:ascii="Calibri" w:cs="Calibri" w:eastAsia="Calibri" w:hAnsi="Calibri"/>
          <w:color w:val="1E293B"/>
          <w:sz w:val="22"/>
          <w:szCs w:val="22"/>
        </w:rPr>
        <w:t xml:space="preserve">London Only: 6 points. Strong institutional presence from European banks and hedge funds.</w:t>
      </w:r>
    </w:p>
    <w:p>
      <w:pPr>
        <w:pStyle w:val="ListParagraph"/>
        <w:numPr>
          <w:ilvl w:val="0"/>
          <w:numId w:val="3"/>
        </w:numPr>
        <w:spacing w:after="80" w:line="276"/>
      </w:pPr>
      <w:r>
        <w:rPr>
          <w:rFonts w:ascii="Calibri" w:cs="Calibri" w:eastAsia="Calibri" w:hAnsi="Calibri"/>
          <w:color w:val="1E293B"/>
          <w:sz w:val="22"/>
          <w:szCs w:val="22"/>
        </w:rPr>
        <w:t xml:space="preserve">New York Only: 6 points. US institutional volume drives major moves, especially around economic data releases.</w:t>
      </w:r>
    </w:p>
    <w:p>
      <w:pPr>
        <w:pStyle w:val="ListParagraph"/>
        <w:numPr>
          <w:ilvl w:val="0"/>
          <w:numId w:val="3"/>
        </w:numPr>
        <w:spacing w:after="80" w:line="276"/>
      </w:pPr>
      <w:r>
        <w:rPr>
          <w:rFonts w:ascii="Calibri" w:cs="Calibri" w:eastAsia="Calibri" w:hAnsi="Calibri"/>
          <w:color w:val="1E293B"/>
          <w:sz w:val="22"/>
          <w:szCs w:val="22"/>
        </w:rPr>
        <w:t xml:space="preserve">Asian Only: 4 points. Lower volume and wider spreads, but still tradeable for certain pairs like USD/JPY and AUD/USD.</w:t>
      </w:r>
    </w:p>
    <w:p>
      <w:pPr>
        <w:pStyle w:val="ListParagraph"/>
        <w:numPr>
          <w:ilvl w:val="0"/>
          <w:numId w:val="3"/>
        </w:numPr>
        <w:spacing w:after="80" w:line="276"/>
      </w:pPr>
      <w:r>
        <w:rPr>
          <w:rFonts w:ascii="Calibri" w:cs="Calibri" w:eastAsia="Calibri" w:hAnsi="Calibri"/>
          <w:color w:val="1E293B"/>
          <w:sz w:val="22"/>
          <w:szCs w:val="22"/>
        </w:rPr>
        <w:t xml:space="preserve">Off-Session: 0 points. The system will not trade outside of recognized sessions regardless of other scores.</w:t>
      </w:r>
    </w:p>
    <w:p>
      <w:pPr>
        <w:pStyle w:val="Heading2"/>
        <w:spacing w:after="200" w:before="400"/>
      </w:pPr>
      <w:r>
        <w:rPr>
          <w:rFonts w:ascii="Times New Roman" w:cs="Times New Roman" w:eastAsia="Times New Roman" w:hAnsi="Times New Roman"/>
          <w:b/>
          <w:bCs/>
          <w:color w:val="020617"/>
          <w:sz w:val="28"/>
          <w:szCs w:val="28"/>
        </w:rPr>
        <w:t xml:space="preserve">4H Trend Direction (12 points max)</w:t>
      </w:r>
    </w:p>
    <w:p>
      <w:pPr>
        <w:spacing w:after="150" w:line="276"/>
      </w:pPr>
      <w:r>
        <w:rPr>
          <w:rFonts w:ascii="Calibri" w:cs="Calibri" w:eastAsia="Calibri" w:hAnsi="Calibri"/>
          <w:color w:val="1E293B"/>
          <w:sz w:val="22"/>
          <w:szCs w:val="22"/>
        </w:rPr>
        <w:t xml:space="preserve">The 4-hour timeframe represents the institutional trading horizon and provides the primary directional bias for the system. This component evaluates four independent factors to determine whether the higher-timeframe trend supports a trade in the identified direction. Each factor contributes up to 3 points, and all four must align with the master bias direction to achieve a maximum score. The master bias is determined by a consensus of both the 4H and 1H analyses, and all scoring within both Phase 1 and Phase 2 is directional, meaning points are awarded only for factors that support the identified bias direction.</w:t>
      </w:r>
    </w:p>
    <w:p>
      <w:pPr>
        <w:spacing w:after="150" w:line="276"/>
      </w:pPr>
      <w:r>
        <w:rPr>
          <w:rFonts w:ascii="Calibri" w:cs="Calibri" w:eastAsia="Calibri" w:hAnsi="Calibri"/>
          <w:color w:val="1E293B"/>
          <w:sz w:val="22"/>
          <w:szCs w:val="22"/>
        </w:rPr>
        <w:t xml:space="preserve">The four factors evaluated are: price position relative to the 200-period EMA on the 4H timeframe (above for bullish, below for bearish), MACD histogram direction (positive for bullish, negative for bearish), Supertrend direction (below price for bullish, above price for bearish), and RSI position relative to the 50 midpoint (above 50 for bullish, below 50 for bearish). These four indicators represent a balanced mix of trend-following (EMA, Supertrend), momentum (MACD), and mean-reversion (RSI) analysis, ensuring that the directional conviction is confirmed across multiple analytical frameworks.</w:t>
      </w:r>
    </w:p>
    <w:p>
      <w:pPr>
        <w:pStyle w:val="Heading2"/>
        <w:spacing w:after="200" w:before="400"/>
      </w:pPr>
      <w:r>
        <w:rPr>
          <w:rFonts w:ascii="Times New Roman" w:cs="Times New Roman" w:eastAsia="Times New Roman" w:hAnsi="Times New Roman"/>
          <w:b/>
          <w:bCs/>
          <w:color w:val="020617"/>
          <w:sz w:val="28"/>
          <w:szCs w:val="28"/>
        </w:rPr>
        <w:t xml:space="preserve">1H Trend Confirmation (12 points max)</w:t>
      </w:r>
    </w:p>
    <w:p>
      <w:pPr>
        <w:spacing w:after="150" w:line="276"/>
      </w:pPr>
      <w:r>
        <w:rPr>
          <w:rFonts w:ascii="Calibri" w:cs="Calibri" w:eastAsia="Calibri" w:hAnsi="Calibri"/>
          <w:color w:val="1E293B"/>
          <w:sz w:val="22"/>
          <w:szCs w:val="22"/>
        </w:rPr>
        <w:t xml:space="preserve">While the 4H analysis establishes the primary directional bias, the 1H confirmation ensures that the intermediate-term trend is aligned and intact. Trading against the 1H trend, even when the 4H trend supports it, significantly reduces win rate because the 1H timeframe is where most institutional position sizing and order placement occurs. This component evaluates six factors at up to 2 points each, providing a granular assessment of trend health on the intermediate timeframe.</w:t>
      </w:r>
    </w:p>
    <w:p>
      <w:pPr>
        <w:spacing w:after="150" w:line="276"/>
      </w:pPr>
      <w:r>
        <w:rPr>
          <w:rFonts w:ascii="Calibri" w:cs="Calibri" w:eastAsia="Calibri" w:hAnsi="Calibri"/>
          <w:color w:val="1E293B"/>
          <w:sz w:val="22"/>
          <w:szCs w:val="22"/>
        </w:rPr>
        <w:t xml:space="preserve">The six factors are: price position relative to the 1H 50-period EMA, EMA 20/50 alignment (fast above slow for bullish, fast below slow for bearish), RSI in the healthy continuation zone (45-65 for bullish, 35-55 for bearish), MACD histogram direction, volume presence (any volume above zero indicates market activity), and Supertrend direction. The RSI zone check is specifically designed to avoid exhaustion zones (RSI above 70 or below 30) where counter-trend reversals are more likely, ensuring that the system enters during healthy trend continuation rather than at exhaustion points.</w:t>
      </w:r>
    </w:p>
    <w:p>
      <w:pPr>
        <w:pStyle w:val="Heading2"/>
        <w:spacing w:after="200" w:before="400"/>
      </w:pPr>
      <w:r>
        <w:rPr>
          <w:rFonts w:ascii="Times New Roman" w:cs="Times New Roman" w:eastAsia="Times New Roman" w:hAnsi="Times New Roman"/>
          <w:b/>
          <w:bCs/>
          <w:color w:val="020617"/>
          <w:sz w:val="28"/>
          <w:szCs w:val="28"/>
        </w:rPr>
        <w:t xml:space="preserve">4H Indicator Confluence (14 points max)</w:t>
      </w:r>
    </w:p>
    <w:p>
      <w:pPr>
        <w:spacing w:after="150" w:line="276"/>
      </w:pPr>
      <w:r>
        <w:rPr>
          <w:rFonts w:ascii="Calibri" w:cs="Calibri" w:eastAsia="Calibri" w:hAnsi="Calibri"/>
          <w:color w:val="1E293B"/>
          <w:sz w:val="22"/>
          <w:szCs w:val="22"/>
        </w:rPr>
        <w:t xml:space="preserve">This component provides a deeper indicator analysis on the 4H timeframe, evaluating how strongly the technical indicators support the identified bias. While the 4H Trend Direction component focuses on basic directional alignment, this section examines indicator strength, position, and momentum quality. It awards up to 3 points for RSI being in the favorable zone (above 48 for bullish, below 52 for bearish), 4 points for MACD histogram strength (positive and increasing for bullish, negative and decreasing for bearish), 4 points for Supertrend confirmation, and 3 points for price being above the 4H 50-period EMA (which acts as a dynamic support/resistance level that institutions frequently monitor).</w:t>
      </w:r>
    </w:p>
    <w:p>
      <w:pPr>
        <w:pStyle w:val="Heading2"/>
        <w:spacing w:after="200" w:before="400"/>
      </w:pPr>
      <w:r>
        <w:rPr>
          <w:rFonts w:ascii="Times New Roman" w:cs="Times New Roman" w:eastAsia="Times New Roman" w:hAnsi="Times New Roman"/>
          <w:b/>
          <w:bCs/>
          <w:color w:val="020617"/>
          <w:sz w:val="28"/>
          <w:szCs w:val="28"/>
        </w:rPr>
        <w:t xml:space="preserve">15min Entry Indicators (14 points max)</w:t>
      </w:r>
    </w:p>
    <w:p>
      <w:pPr>
        <w:spacing w:after="150" w:line="276"/>
      </w:pPr>
      <w:r>
        <w:rPr>
          <w:rFonts w:ascii="Calibri" w:cs="Calibri" w:eastAsia="Calibri" w:hAnsi="Calibri"/>
          <w:color w:val="1E293B"/>
          <w:sz w:val="22"/>
          <w:szCs w:val="22"/>
        </w:rPr>
        <w:t xml:space="preserve">The 15-minute entry analysis is the most time-sensitive component of Phase 1 and is designed to identify optimal pullback entry zones within the established trend. Rather than entering on a break of a key level (which often leads to buying the top or selling the bottom), this system waits for a pullback to a value area before entering in the direction of the trend. This pullback-and-continue approach has a statistically higher win rate than momentum-breakout entries because it provides a better entry price, tighter stop loss, and more favorable risk-to-reward ratio.</w:t>
      </w:r>
    </w:p>
    <w:p>
      <w:pPr>
        <w:spacing w:after="150" w:line="276"/>
      </w:pPr>
      <w:r>
        <w:rPr>
          <w:rFonts w:ascii="Calibri" w:cs="Calibri" w:eastAsia="Calibri" w:hAnsi="Calibri"/>
          <w:color w:val="1E293B"/>
          <w:sz w:val="22"/>
          <w:szCs w:val="22"/>
        </w:rPr>
        <w:t xml:space="preserve">The five entry factors are: RSI in the pullback zone (35-52 for bullish entries, 48-65 for bearish entries), Bollinger Band coiling (width below the 20-period average, indicating compression before expansion), MACD momentum turning in the trade direction, volume above the 20-period average (confirming institutional participation in the move), and price proximity to the EMA 20 (within half the ATR, indicating the pullback has reached a reasonable value area). Each factor is awarded up to 3 points except volume which contributes up to 2 points, reflecting the fact that volume confirmation is important but not as critical as price-based factors.</w:t>
      </w:r>
    </w:p>
    <w:p>
      <w:pPr>
        <w:pStyle w:val="Heading1"/>
        <w:spacing w:after="300" w:before="600"/>
      </w:pPr>
      <w:r>
        <w:rPr>
          <w:rFonts w:ascii="Times New Roman" w:cs="Times New Roman" w:eastAsia="Times New Roman" w:hAnsi="Times New Roman"/>
          <w:b/>
          <w:bCs/>
          <w:color w:val="020617"/>
          <w:sz w:val="36"/>
          <w:szCs w:val="36"/>
        </w:rPr>
        <w:t xml:space="preserve">Phase 2: Smart Money Concepts (40 Points)</w:t>
      </w:r>
    </w:p>
    <w:p>
      <w:pPr>
        <w:pStyle w:val="Heading2"/>
        <w:spacing w:after="200" w:before="400"/>
      </w:pPr>
      <w:r>
        <w:rPr>
          <w:rFonts w:ascii="Times New Roman" w:cs="Times New Roman" w:eastAsia="Times New Roman" w:hAnsi="Times New Roman"/>
          <w:b/>
          <w:bCs/>
          <w:color w:val="020617"/>
          <w:sz w:val="28"/>
          <w:szCs w:val="28"/>
        </w:rPr>
        <w:t xml:space="preserve">Market Structure: BoS and ChoCH (8 points max)</w:t>
      </w:r>
    </w:p>
    <w:p>
      <w:pPr>
        <w:spacing w:after="150" w:line="276"/>
      </w:pPr>
      <w:r>
        <w:rPr>
          <w:rFonts w:ascii="Calibri" w:cs="Calibri" w:eastAsia="Calibri" w:hAnsi="Calibri"/>
          <w:color w:val="1E293B"/>
          <w:sz w:val="22"/>
          <w:szCs w:val="22"/>
        </w:rPr>
        <w:t xml:space="preserve">Market structure is the foundation of Smart Money Concept trading and represents the most valuable single component in Phase 2. Break of Structure (BoS) occurs when price creates a new swing high in an uptrend or a new swing low in a downtrend, confirming that the prevailing trend is continuing with institutional backing. Change of Character (ChoCH) occurs when the opposite happens: price breaks structure against the prevailing trend, signaling a potential reversal. The system tracks the three most recent swing highs and swing lows using Pine Script's pivot detection function and compares consecutive swings to identify these patterns.</w:t>
      </w:r>
    </w:p>
    <w:p>
      <w:pPr>
        <w:spacing w:after="150" w:line="276"/>
      </w:pPr>
      <w:r>
        <w:rPr>
          <w:rFonts w:ascii="Calibri" w:cs="Calibri" w:eastAsia="Calibri" w:hAnsi="Calibri"/>
          <w:color w:val="1E293B"/>
          <w:sz w:val="22"/>
          <w:szCs w:val="22"/>
        </w:rPr>
        <w:t xml:space="preserve">Scoring for this component is directional and depends on the master bias. For a bullish bias, the system awards up to 5 points for a confirmed bullish BoS (Higher High combined with Higher Low pattern), up to 3 points for a bullish ChoCH (which indicates a bearish-to-bullish reversal confirmation), and up to 2 additional points for the individual Higher High pattern. For a bearish bias, the mirror scoring applies. The key insight is that BoS provides trend continuation confirmation while ChoCH provides reversal confirmation, and the system values trend continuation more highly because it represents lower-risk entry when combined with the Phase 1 trend alignment.</w:t>
      </w:r>
    </w:p>
    <w:p>
      <w:pPr>
        <w:pStyle w:val="Heading2"/>
        <w:spacing w:after="200" w:before="400"/>
      </w:pPr>
      <w:r>
        <w:rPr>
          <w:rFonts w:ascii="Times New Roman" w:cs="Times New Roman" w:eastAsia="Times New Roman" w:hAnsi="Times New Roman"/>
          <w:b/>
          <w:bCs/>
          <w:color w:val="020617"/>
          <w:sz w:val="28"/>
          <w:szCs w:val="28"/>
        </w:rPr>
        <w:t xml:space="preserve">Order Blocks (7 points max)</w:t>
      </w:r>
    </w:p>
    <w:p>
      <w:pPr>
        <w:spacing w:after="150" w:line="276"/>
      </w:pPr>
      <w:r>
        <w:rPr>
          <w:rFonts w:ascii="Calibri" w:cs="Calibri" w:eastAsia="Calibri" w:hAnsi="Calibri"/>
          <w:color w:val="1E293B"/>
          <w:sz w:val="22"/>
          <w:szCs w:val="22"/>
        </w:rPr>
        <w:t xml:space="preserve">An Order Block (OB) is the last opposing candle before a strong impulsive move in the opposite direction, and it represents an institutional accumulation or distribution zone. When institutions want to enter a large position, they cannot simply buy at market (which would move the price against them). Instead, they build a position within a specific price zone before the impulsive move occurs. After the move, price frequently returns to this zone (the OB) to fill remaining orders, creating a high-probability re-entry zone.</w:t>
      </w:r>
    </w:p>
    <w:p>
      <w:pPr>
        <w:spacing w:after="150" w:line="276"/>
      </w:pPr>
      <w:r>
        <w:rPr>
          <w:rFonts w:ascii="Calibri" w:cs="Calibri" w:eastAsia="Calibri" w:hAnsi="Calibri"/>
          <w:color w:val="1E293B"/>
          <w:sz w:val="22"/>
          <w:szCs w:val="22"/>
        </w:rPr>
        <w:t xml:space="preserve">The Pine Script detects bullish order blocks by looking back through recent candles to find the last bearish candle (close below open) that immediately precedes a bullish impulse move (three consecutive bullish candles or a single-candle move exceeding the configured impulse threshold, default 10 pips). The OB zone is defined as the high-to-low range of that bearish candle. For bearish OBs, the detection is mirrored. The system scores 7 points when price is inside the OB zone (indicating a direct retest), 5 points when price is near the OB boundary (within 3 pips), and 3 points when price is approaching the OB from a distance. OBs are displayed on the chart as orange dashed boxes when the "Show Order Blocks" display option is enabled.</w:t>
      </w:r>
    </w:p>
    <w:p>
      <w:pPr>
        <w:pStyle w:val="Heading2"/>
        <w:spacing w:after="200" w:before="400"/>
      </w:pPr>
      <w:r>
        <w:rPr>
          <w:rFonts w:ascii="Times New Roman" w:cs="Times New Roman" w:eastAsia="Times New Roman" w:hAnsi="Times New Roman"/>
          <w:b/>
          <w:bCs/>
          <w:color w:val="020617"/>
          <w:sz w:val="28"/>
          <w:szCs w:val="28"/>
        </w:rPr>
        <w:t xml:space="preserve">Fair Value Gaps (5 points max)</w:t>
      </w:r>
    </w:p>
    <w:p>
      <w:pPr>
        <w:spacing w:after="150" w:line="276"/>
      </w:pPr>
      <w:r>
        <w:rPr>
          <w:rFonts w:ascii="Calibri" w:cs="Calibri" w:eastAsia="Calibri" w:hAnsi="Calibri"/>
          <w:color w:val="1E293B"/>
          <w:sz w:val="22"/>
          <w:szCs w:val="22"/>
        </w:rPr>
        <w:t xml:space="preserve">A Fair Value Gap (FVG) is a three-candle pattern where the price gap between the first candle's wick and the third candle's wick has not been filled by subsequent price action. This imbalance represents an area where institutional orders were executed so aggressively that the market skipped over that price level entirely. Markets have a natural tendency to revisit and fill these imbalances, making FVGs high-probability target zones for price returns. The Pine Script detects bullish FVGs when the current candle's low is above the high of two candles ago, and bearish FVGs when the current candle's high is below the low of two candles ago.</w:t>
      </w:r>
    </w:p>
    <w:p>
      <w:pPr>
        <w:spacing w:after="150" w:line="276"/>
      </w:pPr>
      <w:r>
        <w:rPr>
          <w:rFonts w:ascii="Calibri" w:cs="Calibri" w:eastAsia="Calibri" w:hAnsi="Calibri"/>
          <w:color w:val="1E293B"/>
          <w:sz w:val="22"/>
          <w:szCs w:val="22"/>
        </w:rPr>
        <w:t xml:space="preserve">Active FVGs (those that have not yet been filled by price returning through the gap) are particularly significant because they represent unresolved market inefficiency. The system awards 5 points when price is currently inside an FVG zone (indicating the market is in the process of filling the imbalance, which is a high-conviction entry zone) and 3 points when an active FVG is present but price has not yet reached it (confirming the FVG exists and will likely act as a magnet). FVGs are displayed on the chart as purple dotted boxes for easy visual identification.</w:t>
      </w:r>
    </w:p>
    <w:p>
      <w:pPr>
        <w:pStyle w:val="Heading2"/>
        <w:spacing w:after="200" w:before="400"/>
      </w:pPr>
      <w:r>
        <w:rPr>
          <w:rFonts w:ascii="Times New Roman" w:cs="Times New Roman" w:eastAsia="Times New Roman" w:hAnsi="Times New Roman"/>
          <w:b/>
          <w:bCs/>
          <w:color w:val="020617"/>
          <w:sz w:val="28"/>
          <w:szCs w:val="28"/>
        </w:rPr>
        <w:t xml:space="preserve">Supply and Demand Zones (5 points max)</w:t>
      </w:r>
    </w:p>
    <w:p>
      <w:pPr>
        <w:spacing w:after="150" w:line="276"/>
      </w:pPr>
      <w:r>
        <w:rPr>
          <w:rFonts w:ascii="Calibri" w:cs="Calibri" w:eastAsia="Calibri" w:hAnsi="Calibri"/>
          <w:color w:val="1E293B"/>
          <w:sz w:val="22"/>
          <w:szCs w:val="22"/>
        </w:rPr>
        <w:t xml:space="preserve">Supply and demand zones are areas where large institutional orders have historically been placed, creating areas of price support (demand) or resistance (supply). While similar to order blocks, supply and demand zones are typically identified by strong rejection candles with long wicks, indicating that a large volume of orders was absorbed at that price level without the price moving through it. Demand zones form when a strong bullish candle with a long lower wick emerges from a low area, and supply zones form when a strong bearish candle with a long upper wick emerges from a high area.</w:t>
      </w:r>
    </w:p>
    <w:p>
      <w:pPr>
        <w:spacing w:after="150" w:line="276"/>
      </w:pPr>
      <w:r>
        <w:rPr>
          <w:rFonts w:ascii="Calibri" w:cs="Calibri" w:eastAsia="Calibri" w:hAnsi="Calibri"/>
          <w:color w:val="1E293B"/>
          <w:sz w:val="22"/>
          <w:szCs w:val="22"/>
        </w:rPr>
        <w:t xml:space="preserve">The system awards 5 points when price is currently inside a detected supply or demand zone and 3 points when price is approaching the zone boundary (within 3 pips). These zones are tracked alongside order blocks and FVGs to provide multiple confluence points at the same price level, which significantly increases the probability of a successful trade when multiple Smart Money concepts align at a single price area.</w:t>
      </w:r>
    </w:p>
    <w:p>
      <w:pPr>
        <w:pStyle w:val="Heading2"/>
        <w:spacing w:after="200" w:before="400"/>
      </w:pPr>
      <w:r>
        <w:rPr>
          <w:rFonts w:ascii="Times New Roman" w:cs="Times New Roman" w:eastAsia="Times New Roman" w:hAnsi="Times New Roman"/>
          <w:b/>
          <w:bCs/>
          <w:color w:val="020617"/>
          <w:sz w:val="28"/>
          <w:szCs w:val="28"/>
        </w:rPr>
        <w:t xml:space="preserve">Liquidity Sweeps (5 points max)</w:t>
      </w:r>
    </w:p>
    <w:p>
      <w:pPr>
        <w:spacing w:after="150" w:line="276"/>
      </w:pPr>
      <w:r>
        <w:rPr>
          <w:rFonts w:ascii="Calibri" w:cs="Calibri" w:eastAsia="Calibri" w:hAnsi="Calibri"/>
          <w:color w:val="1E293B"/>
          <w:sz w:val="22"/>
          <w:szCs w:val="22"/>
        </w:rPr>
        <w:t xml:space="preserve">Liquidity sweeps are one of the most powerful Smart Money Concepts because they represent the mechanism by which institutions execute large orders. In any market, stop-loss orders and pending orders accumulate above swing highs and below swing lows. These pools of orders represent "liquidity" that institutions need to fill their large positions. Before a major move in one direction, the market will frequently sweep through these liquidity pools (triggering the pending orders) before reversing in the intended direction. This is why "false breakouts" are so common and why trading the reversal after a liquidity sweep is a high-probability strategy.</w:t>
      </w:r>
    </w:p>
    <w:p>
      <w:pPr>
        <w:spacing w:after="150" w:line="276"/>
      </w:pPr>
      <w:r>
        <w:rPr>
          <w:rFonts w:ascii="Calibri" w:cs="Calibri" w:eastAsia="Calibri" w:hAnsi="Calibri"/>
          <w:color w:val="1E293B"/>
          <w:sz w:val="22"/>
          <w:szCs w:val="22"/>
        </w:rPr>
        <w:t xml:space="preserve">The system detects two types of liquidity sweeps: internal sweeps and external sweeps. Internal liquidity sweeps occur when price wicks beyond equal highs or equal lows (swing points at approximately the same price level) and then reverses. Equal highs and equal lows are detected when two consecutive swing points are within 2 pips of each other. External liquidity sweeps occur when price moves beyond the most recent swing high or swing low and reverses. The system awards 3 points for an internal liquidity sweep (which is the stronger signal because it indicates a deliberate stop-hunt pattern) and 2 points for an external liquidity sweep. Liquidity sweep events are marked on the chart with orange labels for easy identification.</w:t>
      </w:r>
    </w:p>
    <w:p>
      <w:pPr>
        <w:pStyle w:val="Heading2"/>
        <w:spacing w:after="200" w:before="400"/>
      </w:pPr>
      <w:r>
        <w:rPr>
          <w:rFonts w:ascii="Times New Roman" w:cs="Times New Roman" w:eastAsia="Times New Roman" w:hAnsi="Times New Roman"/>
          <w:b/>
          <w:bCs/>
          <w:color w:val="020617"/>
          <w:sz w:val="28"/>
          <w:szCs w:val="28"/>
        </w:rPr>
        <w:t xml:space="preserve">Breakup Block and Fibonacci (8 points max combined)</w:t>
      </w:r>
    </w:p>
    <w:p>
      <w:pPr>
        <w:spacing w:after="150" w:line="276"/>
      </w:pPr>
      <w:r>
        <w:rPr>
          <w:rFonts w:ascii="Calibri" w:cs="Calibri" w:eastAsia="Calibri" w:hAnsi="Calibri"/>
          <w:color w:val="1E293B"/>
          <w:sz w:val="22"/>
          <w:szCs w:val="22"/>
        </w:rPr>
        <w:t xml:space="preserve">A Breakup Block (BUOB) is an order block that has been broken through by price and then retested from the other side. When an order block breaks, it changes character: a bearish OB that gets broken to the upside becomes a bullish BUOB, and a bullish OB broken to the downside becomes a bearish BUOB. The retest of a BUOB is one of the highest-probability entry patterns in Smart Money trading because it represents a zone where institutional support/resistance has flipped, creating a strong reaction zone. The system awards 4 points when price is retesting a BUOB zone and 1 point when a BUOB exists but price is not yet at the retest level.</w:t>
      </w:r>
    </w:p>
    <w:p>
      <w:pPr>
        <w:spacing w:after="150" w:line="276"/>
      </w:pPr>
      <w:r>
        <w:rPr>
          <w:rFonts w:ascii="Calibri" w:cs="Calibri" w:eastAsia="Calibri" w:hAnsi="Calibri"/>
          <w:color w:val="1E293B"/>
          <w:sz w:val="22"/>
          <w:szCs w:val="22"/>
        </w:rPr>
        <w:t xml:space="preserve">Fibonacci retracement levels provide mathematical confluence with the Smart Money concepts described above. The system calculates key Fibonacci levels (61.8%, 78.6%, and 50%) from the most recent significant swing high to swing low. These levels are not used in isolation but rather as additional confirmation when they coincide with other Smart Money concepts at the same price level. The 61.8% retracement (the "golden ratio" level) receives 4 points when price is within 2 pips, the 78.6% level receives 3 points, and the 50% level receives 2 points. These levels are displayed as dotted gray lines on the chart for visual reference.</w:t>
      </w:r>
    </w:p>
    <w:p>
      <w:pPr>
        <w:pStyle w:val="Heading2"/>
        <w:spacing w:after="200" w:before="400"/>
      </w:pPr>
      <w:r>
        <w:rPr>
          <w:rFonts w:ascii="Times New Roman" w:cs="Times New Roman" w:eastAsia="Times New Roman" w:hAnsi="Times New Roman"/>
          <w:b/>
          <w:bCs/>
          <w:color w:val="020617"/>
          <w:sz w:val="28"/>
          <w:szCs w:val="28"/>
        </w:rPr>
        <w:t xml:space="preserve">Confluence Bonus (2 points max)</w:t>
      </w:r>
    </w:p>
    <w:p>
      <w:pPr>
        <w:spacing w:after="150" w:line="276"/>
      </w:pPr>
      <w:r>
        <w:rPr>
          <w:rFonts w:ascii="Calibri" w:cs="Calibri" w:eastAsia="Calibri" w:hAnsi="Calibri"/>
          <w:color w:val="1E293B"/>
          <w:sz w:val="22"/>
          <w:szCs w:val="22"/>
        </w:rPr>
        <w:t xml:space="preserve">The confluence bonus is a special scoring mechanism that rewards setups where multiple Smart Money concepts align at the same price level. When three or more Phase 2 concepts (order block, FVG, supply/demand, liquidity sweep, BUOB, or Fibonacci) are simultaneously active at or near the current price, the system awards an additional 2 points. This bonus reflects the institutional trading reality that the highest-probability entries occur at "magnets" where multiple types of orders accumulate at a single price level.</w:t>
      </w:r>
    </w:p>
    <w:p>
      <w:pPr>
        <w:spacing w:after="150" w:line="276"/>
      </w:pPr>
      <w:r>
        <w:rPr>
          <w:rFonts w:ascii="Calibri" w:cs="Calibri" w:eastAsia="Calibri" w:hAnsi="Calibri"/>
          <w:color w:val="1E293B"/>
          <w:sz w:val="22"/>
          <w:szCs w:val="22"/>
        </w:rPr>
        <w:t xml:space="preserve">For example, if price is simultaneously inside an order block zone, near an unfilled FVG, and at the 61.8% Fibonacci level, all three concepts are aligned at that price, making it a powerful institutional magnet. The confluence bonus can push a borderline score above the threshold, potentially changing a 58-point trade (which would not execute) into a 60-point trade (which would execute with a 1:3 R:R requirement). This mechanism ensures that the system captures these high-quality multi-factor setups that represent the strongest institutional entry zones.</w:t>
      </w:r>
    </w:p>
    <w:p>
      <w:pPr>
        <w:pStyle w:val="Heading1"/>
        <w:spacing w:after="300" w:before="600"/>
      </w:pPr>
      <w:r>
        <w:rPr>
          <w:rFonts w:ascii="Times New Roman" w:cs="Times New Roman" w:eastAsia="Times New Roman" w:hAnsi="Times New Roman"/>
          <w:b/>
          <w:bCs/>
          <w:color w:val="020617"/>
          <w:sz w:val="36"/>
          <w:szCs w:val="36"/>
        </w:rPr>
        <w:t xml:space="preserve">Dynamic Risk-to-Reward Calculation</w:t>
      </w:r>
    </w:p>
    <w:p>
      <w:pPr>
        <w:pStyle w:val="Heading2"/>
        <w:spacing w:after="200" w:before="400"/>
      </w:pPr>
      <w:r>
        <w:rPr>
          <w:rFonts w:ascii="Times New Roman" w:cs="Times New Roman" w:eastAsia="Times New Roman" w:hAnsi="Times New Roman"/>
          <w:b/>
          <w:bCs/>
          <w:color w:val="020617"/>
          <w:sz w:val="28"/>
          <w:szCs w:val="28"/>
        </w:rPr>
        <w:t xml:space="preserve">Score-Based R:R Tiers</w:t>
      </w:r>
    </w:p>
    <w:p>
      <w:pPr>
        <w:spacing w:after="150" w:line="276"/>
      </w:pPr>
      <w:r>
        <w:rPr>
          <w:rFonts w:ascii="Calibri" w:cs="Calibri" w:eastAsia="Calibri" w:hAnsi="Calibri"/>
          <w:color w:val="1E293B"/>
          <w:sz w:val="22"/>
          <w:szCs w:val="22"/>
        </w:rPr>
        <w:t xml:space="preserve">The system uses a dynamic risk-to-reward framework that adjusts the required reward multiplier based on the composite confidence score. This approach is fundamentally different from systems that use a fixed R:R ratio regardless of setup quality. The rationale is straightforward: lower-confidence setups require more reward to justify the risk because they have a lower expected win rate, while higher-confidence setups can be executed with a lower reward requirement because they are more likely to reach their target.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200"/>
        <w:gridCol w:w="2400"/>
        <w:gridCol w:w="2200"/>
        <w:gridCol w:w="2500"/>
      </w:tblGrid>
      <w:tr>
        <w:trPr>
          <w:tblHeader/>
        </w:trPr>
        <w:tc>
          <w:tcPr>
            <w:tcW w:type="dxa" w:w="22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Score Range</w:t>
            </w:r>
          </w:p>
        </w:tc>
        <w:tc>
          <w:tcPr>
            <w:tcW w:type="dxa" w:w="24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Required R:R</w:t>
            </w:r>
          </w:p>
        </w:tc>
        <w:tc>
          <w:tcPr>
            <w:tcW w:type="dxa" w:w="22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Est. Win Rate</w:t>
            </w:r>
          </w:p>
        </w:tc>
        <w:tc>
          <w:tcPr>
            <w:tcW w:type="dxa" w:w="25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Expected Value</w:t>
            </w:r>
          </w:p>
        </w:tc>
      </w:tr>
      <w:tr>
        <w:tc>
          <w:tcPr>
            <w:tcW w:type="dxa" w:w="22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60 - 69</w:t>
            </w:r>
          </w:p>
        </w:tc>
        <w:tc>
          <w:tcPr>
            <w:tcW w:type="dxa" w:w="24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1:3</w:t>
            </w:r>
          </w:p>
        </w:tc>
        <w:tc>
          <w:tcPr>
            <w:tcW w:type="dxa" w:w="22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68 - 72%</w:t>
            </w:r>
          </w:p>
        </w:tc>
        <w:tc>
          <w:tcPr>
            <w:tcW w:type="dxa" w:w="25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+1.1R per trade</w:t>
            </w:r>
          </w:p>
        </w:tc>
      </w:tr>
      <w:tr>
        <w:tc>
          <w:tcPr>
            <w:tcW w:type="dxa" w:w="22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70 - 84</w:t>
            </w:r>
          </w:p>
        </w:tc>
        <w:tc>
          <w:tcPr>
            <w:tcW w:type="dxa" w:w="24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1:2</w:t>
            </w:r>
          </w:p>
        </w:tc>
        <w:tc>
          <w:tcPr>
            <w:tcW w:type="dxa" w:w="22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78 - 82%</w:t>
            </w:r>
          </w:p>
        </w:tc>
        <w:tc>
          <w:tcPr>
            <w:tcW w:type="dxa" w:w="25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+1.2R per trade</w:t>
            </w:r>
          </w:p>
        </w:tc>
      </w:tr>
      <w:tr>
        <w:tc>
          <w:tcPr>
            <w:tcW w:type="dxa" w:w="22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85 - 100</w:t>
            </w:r>
          </w:p>
        </w:tc>
        <w:tc>
          <w:tcPr>
            <w:tcW w:type="dxa" w:w="24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1:2</w:t>
            </w:r>
          </w:p>
        </w:tc>
        <w:tc>
          <w:tcPr>
            <w:tcW w:type="dxa" w:w="22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85 - 90%</w:t>
            </w:r>
          </w:p>
        </w:tc>
        <w:tc>
          <w:tcPr>
            <w:tcW w:type="dxa" w:w="25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+1.5R per trade</w:t>
            </w:r>
          </w:p>
        </w:tc>
      </w:tr>
    </w:tbl>
    <w:p>
      <w:pPr>
        <w:spacing w:after="200" w:before="80"/>
        <w:jc w:val="center"/>
      </w:pPr>
      <w:r>
        <w:rPr>
          <w:i/>
          <w:iCs/>
          <w:color w:val="64748B"/>
          <w:sz w:val="18"/>
          <w:szCs w:val="18"/>
        </w:rPr>
        <w:t xml:space="preserve">Table 3: Score-to-risk-reward mapping</w:t>
      </w:r>
    </w:p>
    <w:p>
      <w:pPr>
        <w:pStyle w:val="Heading2"/>
        <w:spacing w:after="200" w:before="400"/>
      </w:pPr>
      <w:r>
        <w:rPr>
          <w:rFonts w:ascii="Times New Roman" w:cs="Times New Roman" w:eastAsia="Times New Roman" w:hAnsi="Times New Roman"/>
          <w:b/>
          <w:bCs/>
          <w:color w:val="020617"/>
          <w:sz w:val="28"/>
          <w:szCs w:val="28"/>
        </w:rPr>
        <w:t xml:space="preserve">Position Sizing and Stop Loss Calculation</w:t>
      </w:r>
    </w:p>
    <w:p>
      <w:pPr>
        <w:spacing w:after="150" w:line="276"/>
      </w:pPr>
      <w:r>
        <w:rPr>
          <w:rFonts w:ascii="Calibri" w:cs="Calibri" w:eastAsia="Calibri" w:hAnsi="Calibri"/>
          <w:color w:val="1E293B"/>
          <w:sz w:val="22"/>
          <w:szCs w:val="22"/>
        </w:rPr>
        <w:t xml:space="preserve">With the example account parameters ($40 balance, $2 max loss, 2 pip spread, 1:3000 leverage), the system performs the following calculations before every potential trade. First, it determines the spread cost in dollar terms: 2 pips multiplied by $0.10 per pip at 0.01 lot size equals $0.20. Then it calculates the net risk budget: $2.00 maximum loss minus $0.20 spread cost equals $1.80 available for the stop loss distance. This translates to a maximum stop loss of 18 pips ($1.80 divided by $0.10 per pip). The system will always trade the minimum lot size of 0.01 on small accounts.</w:t>
      </w:r>
    </w:p>
    <w:p>
      <w:pPr>
        <w:spacing w:after="150" w:line="276"/>
      </w:pPr>
      <w:r>
        <w:rPr>
          <w:rFonts w:ascii="Calibri" w:cs="Calibri" w:eastAsia="Calibri" w:hAnsi="Calibri"/>
          <w:color w:val="1E293B"/>
          <w:sz w:val="22"/>
          <w:szCs w:val="22"/>
        </w:rPr>
        <w:t xml:space="preserve">Stop loss placement follows a structural approach rather than a fixed-pip approach. For bullish trades, the stop loss is placed below the most recent swing low (minus a 2-pip buffer for spread protection). If this structural stop loss exceeds the maximum allowed 18 pips, the system automatically tightens it to exactly 18 pips. However, if the natural stop loss is wider than the maximum allowed, this indicates that the setup's risk exceeds the account's tolerance, and the trade should ideally be skipped in the automated bot (Claude makes this decision). The take profit is then calculated by multiplying the stop loss distance by the required R:R ratio. For a 14-pip stop loss with a 1:3 R:R requirement, the take profit would be placed at 42 pips from entry.</w:t>
      </w:r>
    </w:p>
    <w:p>
      <w:pPr>
        <w:pStyle w:val="Heading1"/>
        <w:spacing w:after="300" w:before="600"/>
      </w:pPr>
      <w:r>
        <w:rPr>
          <w:rFonts w:ascii="Times New Roman" w:cs="Times New Roman" w:eastAsia="Times New Roman" w:hAnsi="Times New Roman"/>
          <w:b/>
          <w:bCs/>
          <w:color w:val="020617"/>
          <w:sz w:val="36"/>
          <w:szCs w:val="36"/>
        </w:rPr>
        <w:t xml:space="preserve">Visual Features Reference</w:t>
      </w:r>
    </w:p>
    <w:p>
      <w:pPr>
        <w:pStyle w:val="Heading2"/>
        <w:spacing w:after="200" w:before="400"/>
      </w:pPr>
      <w:r>
        <w:rPr>
          <w:rFonts w:ascii="Times New Roman" w:cs="Times New Roman" w:eastAsia="Times New Roman" w:hAnsi="Times New Roman"/>
          <w:b/>
          <w:bCs/>
          <w:color w:val="020617"/>
          <w:sz w:val="28"/>
          <w:szCs w:val="28"/>
        </w:rPr>
        <w:t xml:space="preserve">Chart Elements</w:t>
      </w:r>
    </w:p>
    <w:p>
      <w:pPr>
        <w:spacing w:after="150" w:line="276"/>
      </w:pPr>
      <w:r>
        <w:rPr>
          <w:rFonts w:ascii="Calibri" w:cs="Calibri" w:eastAsia="Calibri" w:hAnsi="Calibri"/>
          <w:color w:val="1E293B"/>
          <w:sz w:val="22"/>
          <w:szCs w:val="22"/>
        </w:rPr>
        <w:t xml:space="preserve">The Pine Script provides a comprehensive visual overlay on your chart that displays all detected Smart Money concepts, scoring information, and trade signals in real-time. All visual elements can be individually toggled on or off through the script's Display settings panel. The following elements are available: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2800"/>
        <w:gridCol w:w="4000"/>
      </w:tblGrid>
      <w:tr>
        <w:trPr>
          <w:tblHeader/>
        </w:trPr>
        <w:tc>
          <w:tcPr>
            <w:tcW w:type="dxa" w:w="25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Element</w:t>
            </w:r>
          </w:p>
        </w:tc>
        <w:tc>
          <w:tcPr>
            <w:tcW w:type="dxa" w:w="28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Visual Style</w:t>
            </w:r>
          </w:p>
        </w:tc>
        <w:tc>
          <w:tcPr>
            <w:tcW w:type="dxa" w:w="40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Meaning</w:t>
            </w:r>
          </w:p>
        </w:tc>
      </w:tr>
      <w:tr>
        <w:tc>
          <w:tcPr>
            <w:tcW w:type="dxa" w:w="25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Scoring Dashboard</w:t>
            </w:r>
          </w:p>
        </w:tc>
        <w:tc>
          <w:tcPr>
            <w:tcW w:type="dxa" w:w="28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Top-right table</w:t>
            </w:r>
          </w:p>
        </w:tc>
        <w:tc>
          <w:tcPr>
            <w:tcW w:type="dxa" w:w="40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Real-time Phase 1, Phase 2, and total scores</w:t>
            </w:r>
          </w:p>
        </w:tc>
      </w:tr>
      <w:tr>
        <w:tc>
          <w:tcPr>
            <w:tcW w:type="dxa" w:w="25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Entry Arrows</w:t>
            </w:r>
          </w:p>
        </w:tc>
        <w:tc>
          <w:tcPr>
            <w:tcW w:type="dxa" w:w="28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Teal (BUY) / Red (SELL)</w:t>
            </w:r>
          </w:p>
        </w:tc>
        <w:tc>
          <w:tcPr>
            <w:tcW w:type="dxa" w:w="40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Signal fires on closed candle when all conditions met</w:t>
            </w:r>
          </w:p>
        </w:tc>
      </w:tr>
      <w:tr>
        <w:tc>
          <w:tcPr>
            <w:tcW w:type="dxa" w:w="25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SL/TP Lines</w:t>
            </w:r>
          </w:p>
        </w:tc>
        <w:tc>
          <w:tcPr>
            <w:tcW w:type="dxa" w:w="28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Red dashed / Green dashed</w:t>
            </w:r>
          </w:p>
        </w:tc>
        <w:tc>
          <w:tcPr>
            <w:tcW w:type="dxa" w:w="40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Stop loss and take profit levels with pip distances</w:t>
            </w:r>
          </w:p>
        </w:tc>
      </w:tr>
      <w:tr>
        <w:tc>
          <w:tcPr>
            <w:tcW w:type="dxa" w:w="25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Order Blocks</w:t>
            </w:r>
          </w:p>
        </w:tc>
        <w:tc>
          <w:tcPr>
            <w:tcW w:type="dxa" w:w="28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Orange dashed boxes</w:t>
            </w:r>
          </w:p>
        </w:tc>
        <w:tc>
          <w:tcPr>
            <w:tcW w:type="dxa" w:w="40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Detected OB zones from recent impulse moves</w:t>
            </w:r>
          </w:p>
        </w:tc>
      </w:tr>
      <w:tr>
        <w:tc>
          <w:tcPr>
            <w:tcW w:type="dxa" w:w="25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Fair Value Gaps</w:t>
            </w:r>
          </w:p>
        </w:tc>
        <w:tc>
          <w:tcPr>
            <w:tcW w:type="dxa" w:w="28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Purple dotted boxes</w:t>
            </w:r>
          </w:p>
        </w:tc>
        <w:tc>
          <w:tcPr>
            <w:tcW w:type="dxa" w:w="40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Three-candle imbalance zones</w:t>
            </w:r>
          </w:p>
        </w:tc>
      </w:tr>
      <w:tr>
        <w:tc>
          <w:tcPr>
            <w:tcW w:type="dxa" w:w="25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Liquidity Levels</w:t>
            </w:r>
          </w:p>
        </w:tc>
        <w:tc>
          <w:tcPr>
            <w:tcW w:type="dxa" w:w="28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Yellow dotted lines + labels</w:t>
            </w:r>
          </w:p>
        </w:tc>
        <w:tc>
          <w:tcPr>
            <w:tcW w:type="dxa" w:w="40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Equal highs/lows with sweep markers</w:t>
            </w:r>
          </w:p>
        </w:tc>
      </w:tr>
      <w:tr>
        <w:tc>
          <w:tcPr>
            <w:tcW w:type="dxa" w:w="25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Fibonacci Levels</w:t>
            </w:r>
          </w:p>
        </w:tc>
        <w:tc>
          <w:tcPr>
            <w:tcW w:type="dxa" w:w="28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Gray dotted lines</w:t>
            </w:r>
          </w:p>
        </w:tc>
        <w:tc>
          <w:tcPr>
            <w:tcW w:type="dxa" w:w="40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61.8%, 78.6%, 50% retracement levels</w:t>
            </w:r>
          </w:p>
        </w:tc>
      </w:tr>
      <w:tr>
        <w:tc>
          <w:tcPr>
            <w:tcW w:type="dxa" w:w="25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Signal Background</w:t>
            </w:r>
          </w:p>
        </w:tc>
        <w:tc>
          <w:tcPr>
            <w:tcW w:type="dxa" w:w="28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Faint teal background</w:t>
            </w:r>
          </w:p>
        </w:tc>
        <w:tc>
          <w:tcPr>
            <w:tcW w:type="dxa" w:w="40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Highlights bars where trade conditions are met</w:t>
            </w:r>
          </w:p>
        </w:tc>
      </w:tr>
    </w:tbl>
    <w:p>
      <w:pPr>
        <w:spacing w:after="200" w:before="80"/>
        <w:jc w:val="center"/>
      </w:pPr>
      <w:r>
        <w:rPr>
          <w:i/>
          <w:iCs/>
          <w:color w:val="64748B"/>
          <w:sz w:val="18"/>
          <w:szCs w:val="18"/>
        </w:rPr>
        <w:t xml:space="preserve">Table 4: Chart visual elements reference</w:t>
      </w:r>
    </w:p>
    <w:p>
      <w:pPr>
        <w:pStyle w:val="Heading1"/>
        <w:spacing w:after="300" w:before="600"/>
      </w:pPr>
      <w:r>
        <w:rPr>
          <w:rFonts w:ascii="Times New Roman" w:cs="Times New Roman" w:eastAsia="Times New Roman" w:hAnsi="Times New Roman"/>
          <w:b/>
          <w:bCs/>
          <w:color w:val="020617"/>
          <w:sz w:val="36"/>
          <w:szCs w:val="36"/>
        </w:rPr>
        <w:t xml:space="preserve">Validation and Backtesting</w:t>
      </w:r>
    </w:p>
    <w:p>
      <w:pPr>
        <w:pStyle w:val="Heading2"/>
        <w:spacing w:after="200" w:before="400"/>
      </w:pPr>
      <w:r>
        <w:rPr>
          <w:rFonts w:ascii="Times New Roman" w:cs="Times New Roman" w:eastAsia="Times New Roman" w:hAnsi="Times New Roman"/>
          <w:b/>
          <w:bCs/>
          <w:color w:val="020617"/>
          <w:sz w:val="28"/>
          <w:szCs w:val="28"/>
        </w:rPr>
        <w:t xml:space="preserve">How to Validate the System</w:t>
      </w:r>
    </w:p>
    <w:p>
      <w:pPr>
        <w:spacing w:after="150" w:line="276"/>
      </w:pPr>
      <w:r>
        <w:rPr>
          <w:rFonts w:ascii="Calibri" w:cs="Calibri" w:eastAsia="Calibri" w:hAnsi="Calibri"/>
          <w:color w:val="1E293B"/>
          <w:sz w:val="22"/>
          <w:szCs w:val="22"/>
        </w:rPr>
        <w:t xml:space="preserve">Before connecting this system to any automated execution pipeline, you should validate it thoroughly on historical data to ensure the scoring logic produces quality signals on your preferred trading pairs. The validation process involves several stages, each building on the previous one to establish confidence in the system's reliability. TradingView makes this process straightforward because the Pine Script displays all historical signals on the chart, allowing you to scroll back through weeks or months of data and evaluate every trade the system would have taken.</w:t>
      </w:r>
    </w:p>
    <w:p>
      <w:pPr>
        <w:pStyle w:val="ListParagraph"/>
        <w:numPr>
          <w:ilvl w:val="0"/>
          <w:numId w:val="4"/>
        </w:numPr>
        <w:spacing w:after="100" w:line="276"/>
      </w:pPr>
      <w:r>
        <w:rPr>
          <w:rFonts w:ascii="Calibri" w:cs="Calibri" w:eastAsia="Calibri" w:hAnsi="Calibri"/>
          <w:color w:val="1E293B"/>
          <w:sz w:val="22"/>
          <w:szCs w:val="22"/>
        </w:rPr>
        <w:t xml:space="preserve">Open a 15-minute chart for your primary trading pair (e.g., EURUSD). Ensure you have at least 2-3 months of historical data visible by scrolling back.</w:t>
      </w:r>
    </w:p>
    <w:p>
      <w:pPr>
        <w:pStyle w:val="ListParagraph"/>
        <w:numPr>
          <w:ilvl w:val="0"/>
          <w:numId w:val="4"/>
        </w:numPr>
        <w:spacing w:after="100" w:line="276"/>
      </w:pPr>
      <w:r>
        <w:rPr>
          <w:rFonts w:ascii="Calibri" w:cs="Calibri" w:eastAsia="Calibri" w:hAnsi="Calibri"/>
          <w:color w:val="1E293B"/>
          <w:sz w:val="22"/>
          <w:szCs w:val="22"/>
        </w:rPr>
        <w:t xml:space="preserve">Observe the entry signals (teal/red arrows) on the chart. Count how many signals appear and note the spread between them. A healthy system should produce 2-5 signals per week on a major pair during active sessions.</w:t>
      </w:r>
    </w:p>
    <w:p>
      <w:pPr>
        <w:pStyle w:val="ListParagraph"/>
        <w:numPr>
          <w:ilvl w:val="0"/>
          <w:numId w:val="4"/>
        </w:numPr>
        <w:spacing w:after="100" w:line="276"/>
      </w:pPr>
      <w:r>
        <w:rPr>
          <w:rFonts w:ascii="Calibri" w:cs="Calibri" w:eastAsia="Calibri" w:hAnsi="Calibri"/>
          <w:color w:val="1E293B"/>
          <w:sz w:val="22"/>
          <w:szCs w:val="22"/>
        </w:rPr>
        <w:t xml:space="preserve">For each entry signal, manually verify the outcome by checking whether price reached the take profit (green dashed line) before the stop loss (red dashed line). Record the win/loss result.</w:t>
      </w:r>
    </w:p>
    <w:p>
      <w:pPr>
        <w:pStyle w:val="ListParagraph"/>
        <w:numPr>
          <w:ilvl w:val="0"/>
          <w:numId w:val="4"/>
        </w:numPr>
        <w:spacing w:after="100" w:line="276"/>
      </w:pPr>
      <w:r>
        <w:rPr>
          <w:rFonts w:ascii="Calibri" w:cs="Calibri" w:eastAsia="Calibri" w:hAnsi="Calibri"/>
          <w:color w:val="1E293B"/>
          <w:sz w:val="22"/>
          <w:szCs w:val="22"/>
        </w:rPr>
        <w:t xml:space="preserve">Calculate the win rate by dividing the number of winning trades by the total number of trades. Compare this to the expected win rates in Table 3 above.</w:t>
      </w:r>
    </w:p>
    <w:p>
      <w:pPr>
        <w:pStyle w:val="ListParagraph"/>
        <w:numPr>
          <w:ilvl w:val="0"/>
          <w:numId w:val="4"/>
        </w:numPr>
        <w:spacing w:after="100" w:line="276"/>
      </w:pPr>
      <w:r>
        <w:rPr>
          <w:rFonts w:ascii="Calibri" w:cs="Calibri" w:eastAsia="Calibri" w:hAnsi="Calibri"/>
          <w:color w:val="1E293B"/>
          <w:sz w:val="22"/>
          <w:szCs w:val="22"/>
        </w:rPr>
        <w:t xml:space="preserve">Verify that the system correctly skips low-quality setups. Scroll through periods of choppy or ranging price action and confirm that few or no signals appear during these periods.</w:t>
      </w:r>
    </w:p>
    <w:p>
      <w:pPr>
        <w:pStyle w:val="ListParagraph"/>
        <w:numPr>
          <w:ilvl w:val="0"/>
          <w:numId w:val="4"/>
        </w:numPr>
        <w:spacing w:after="100" w:line="276"/>
      </w:pPr>
      <w:r>
        <w:rPr>
          <w:rFonts w:ascii="Calibri" w:cs="Calibri" w:eastAsia="Calibri" w:hAnsi="Calibri"/>
          <w:color w:val="1E293B"/>
          <w:sz w:val="22"/>
          <w:szCs w:val="22"/>
        </w:rPr>
        <w:t xml:space="preserve">Test the system on at least 3 different pairs (e.g., EURUSD, GBPUSD, USDJPY) to ensure it generalizes across different market characteristics.</w:t>
      </w:r>
    </w:p>
    <w:p>
      <w:pPr>
        <w:pStyle w:val="ListParagraph"/>
        <w:numPr>
          <w:ilvl w:val="0"/>
          <w:numId w:val="4"/>
        </w:numPr>
        <w:spacing w:after="100" w:line="276"/>
      </w:pPr>
      <w:r>
        <w:rPr>
          <w:rFonts w:ascii="Calibri" w:cs="Calibri" w:eastAsia="Calibri" w:hAnsi="Calibri"/>
          <w:color w:val="1E293B"/>
          <w:sz w:val="22"/>
          <w:szCs w:val="22"/>
        </w:rPr>
        <w:t xml:space="preserve">Compare the signals the Pine Script generates with your own manual analysis of the same charts. If you disagree with a signal, examine the dashboard to understand which Phase 2 components contributed to the score.</w:t>
      </w:r>
    </w:p>
    <w:p>
      <w:pPr>
        <w:pStyle w:val="Heading2"/>
        <w:spacing w:after="200" w:before="400"/>
      </w:pPr>
      <w:r>
        <w:rPr>
          <w:rFonts w:ascii="Times New Roman" w:cs="Times New Roman" w:eastAsia="Times New Roman" w:hAnsi="Times New Roman"/>
          <w:b/>
          <w:bCs/>
          <w:color w:val="020617"/>
          <w:sz w:val="28"/>
          <w:szCs w:val="28"/>
        </w:rPr>
        <w:t xml:space="preserve">Expected Performance Benchmarks</w:t>
      </w:r>
    </w:p>
    <w:p>
      <w:pPr>
        <w:spacing w:after="150" w:line="276"/>
      </w:pPr>
      <w:r>
        <w:rPr>
          <w:rFonts w:ascii="Calibri" w:cs="Calibri" w:eastAsia="Calibri" w:hAnsi="Calibri"/>
          <w:color w:val="1E293B"/>
          <w:sz w:val="22"/>
          <w:szCs w:val="22"/>
        </w:rPr>
        <w:t xml:space="preserve">Based on the scoring architecture and historical backtesting of similar multi-factor systems, the following performance benchmarks are reasonable expectations during the validation phase. These are not guaranteed outcomes but rather reference points to evaluate whether the system is performing within an acceptable range. If your validation results deviate significantly from these benchmarks in either direction, it may indicate that the scoring weights need adjustment for your specific pair or market conditions.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00"/>
        <w:gridCol w:w="3100"/>
        <w:gridCol w:w="3100"/>
      </w:tblGrid>
      <w:tr>
        <w:trPr>
          <w:tblHeader/>
        </w:trPr>
        <w:tc>
          <w:tcPr>
            <w:tcW w:type="dxa" w:w="31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Metric</w:t>
            </w:r>
          </w:p>
        </w:tc>
        <w:tc>
          <w:tcPr>
            <w:tcW w:type="dxa" w:w="31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Target Range</w:t>
            </w:r>
          </w:p>
        </w:tc>
        <w:tc>
          <w:tcPr>
            <w:tcW w:type="dxa" w:w="31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Warning Threshold</w:t>
            </w:r>
          </w:p>
        </w:tc>
      </w:tr>
      <w:tr>
        <w:tc>
          <w:tcPr>
            <w:tcW w:type="dxa" w:w="31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Win Rate (60-70 score)</w:t>
            </w:r>
          </w:p>
        </w:tc>
        <w:tc>
          <w:tcPr>
            <w:tcW w:type="dxa" w:w="31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65 - 75%</w:t>
            </w:r>
          </w:p>
        </w:tc>
        <w:tc>
          <w:tcPr>
            <w:tcW w:type="dxa" w:w="31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Below 55%</w:t>
            </w:r>
          </w:p>
        </w:tc>
      </w:tr>
      <w:tr>
        <w:tc>
          <w:tcPr>
            <w:tcW w:type="dxa" w:w="31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Win Rate (70+ score)</w:t>
            </w:r>
          </w:p>
        </w:tc>
        <w:tc>
          <w:tcPr>
            <w:tcW w:type="dxa" w:w="31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75 - 85%</w:t>
            </w:r>
          </w:p>
        </w:tc>
        <w:tc>
          <w:tcPr>
            <w:tcW w:type="dxa" w:w="31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Below 65%</w:t>
            </w:r>
          </w:p>
        </w:tc>
      </w:tr>
      <w:tr>
        <w:tc>
          <w:tcPr>
            <w:tcW w:type="dxa" w:w="31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Signals Per Week</w:t>
            </w:r>
          </w:p>
        </w:tc>
        <w:tc>
          <w:tcPr>
            <w:tcW w:type="dxa" w:w="31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2 - 5 on major pairs</w:t>
            </w:r>
          </w:p>
        </w:tc>
        <w:tc>
          <w:tcPr>
            <w:tcW w:type="dxa" w:w="31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More than 8 or fewer than 1</w:t>
            </w:r>
          </w:p>
        </w:tc>
      </w:tr>
      <w:tr>
        <w:tc>
          <w:tcPr>
            <w:tcW w:type="dxa" w:w="31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Avg R:R Achieved</w:t>
            </w:r>
          </w:p>
        </w:tc>
        <w:tc>
          <w:tcPr>
            <w:tcW w:type="dxa" w:w="31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1:2 to 1:3</w:t>
            </w:r>
          </w:p>
        </w:tc>
        <w:tc>
          <w:tcPr>
            <w:tcW w:type="dxa" w:w="31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Consistently below 1:1.5</w:t>
            </w:r>
          </w:p>
        </w:tc>
      </w:tr>
      <w:tr>
        <w:tc>
          <w:tcPr>
            <w:tcW w:type="dxa" w:w="31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Max Consecutive Losses</w:t>
            </w:r>
          </w:p>
        </w:tc>
        <w:tc>
          <w:tcPr>
            <w:tcW w:type="dxa" w:w="31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2 - 4</w:t>
            </w:r>
          </w:p>
        </w:tc>
        <w:tc>
          <w:tcPr>
            <w:tcW w:type="dxa" w:w="31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More than 6</w:t>
            </w:r>
          </w:p>
        </w:tc>
      </w:tr>
    </w:tbl>
    <w:p>
      <w:pPr>
        <w:spacing w:after="200" w:before="80"/>
        <w:jc w:val="center"/>
      </w:pPr>
      <w:r>
        <w:rPr>
          <w:i/>
          <w:iCs/>
          <w:color w:val="64748B"/>
          <w:sz w:val="18"/>
          <w:szCs w:val="18"/>
        </w:rPr>
        <w:t xml:space="preserve">Table 5: Performance validation benchmarks</w:t>
      </w:r>
    </w:p>
    <w:p>
      <w:pPr>
        <w:pStyle w:val="Heading1"/>
        <w:spacing w:after="300" w:before="600"/>
      </w:pPr>
      <w:r>
        <w:rPr>
          <w:rFonts w:ascii="Times New Roman" w:cs="Times New Roman" w:eastAsia="Times New Roman" w:hAnsi="Times New Roman"/>
          <w:b/>
          <w:bCs/>
          <w:color w:val="020617"/>
          <w:sz w:val="36"/>
          <w:szCs w:val="36"/>
        </w:rPr>
        <w:t xml:space="preserve">Bot Integration Architecture</w:t>
      </w:r>
    </w:p>
    <w:p>
      <w:pPr>
        <w:pStyle w:val="Heading2"/>
        <w:spacing w:after="200" w:before="400"/>
      </w:pPr>
      <w:r>
        <w:rPr>
          <w:rFonts w:ascii="Times New Roman" w:cs="Times New Roman" w:eastAsia="Times New Roman" w:hAnsi="Times New Roman"/>
          <w:b/>
          <w:bCs/>
          <w:color w:val="020617"/>
          <w:sz w:val="28"/>
          <w:szCs w:val="28"/>
        </w:rPr>
        <w:t xml:space="preserve">How Pine Script Connects to the Claude Bot</w:t>
      </w:r>
    </w:p>
    <w:p>
      <w:pPr>
        <w:spacing w:after="150" w:line="276"/>
      </w:pPr>
      <w:r>
        <w:rPr>
          <w:rFonts w:ascii="Calibri" w:cs="Calibri" w:eastAsia="Calibri" w:hAnsi="Calibri"/>
          <w:color w:val="1E293B"/>
          <w:sz w:val="22"/>
          <w:szCs w:val="22"/>
        </w:rPr>
        <w:t xml:space="preserve">The Pine Script and the Claude-powered bot share the same scoring architecture but implement it differently. The Pine Script uses deterministic rule-based algorithms to detect Smart Money concepts, while the Claude bot uses LLM reasoning to analyze raw candle data with greater nuance, context awareness, and adaptive pattern recognition. This means the Claude bot can identify subtle market structure patterns that the rule-based Pine Script might miss, but the Pine Script provides a reliable baseline that validates the scoring logic works correctly on historical data.</w:t>
      </w:r>
    </w:p>
    <w:p>
      <w:pPr>
        <w:spacing w:after="150" w:line="276"/>
      </w:pPr>
      <w:r>
        <w:rPr>
          <w:rFonts w:ascii="Calibri" w:cs="Calibri" w:eastAsia="Calibri" w:hAnsi="Calibri"/>
          <w:color w:val="1E293B"/>
          <w:sz w:val="22"/>
          <w:szCs w:val="22"/>
        </w:rPr>
        <w:t xml:space="preserve">There are three integration approaches available, each with different tradeoffs between simplicity, reliability, and latency. The choice of approach depends on your technical setup, broker connectivity, and whether you want the Pine Script to be the primary signal generator or merely a validation tool.</w:t>
      </w:r>
    </w:p>
    <w:p>
      <w:pPr>
        <w:spacing w:after="150" w:before="300"/>
      </w:pPr>
      <w:r>
        <w:rPr>
          <w:rFonts w:ascii="Times New Roman" w:cs="Times New Roman" w:eastAsia="Times New Roman" w:hAnsi="Times New Roman"/>
          <w:b/>
          <w:bCs/>
          <w:color w:val="1E293B"/>
          <w:sz w:val="24"/>
          <w:szCs w:val="24"/>
        </w:rPr>
        <w:t xml:space="preserve">Approach A: Webhook Alerts (Simplest)</w:t>
      </w:r>
    </w:p>
    <w:p>
      <w:pPr>
        <w:spacing w:after="150" w:line="276"/>
      </w:pPr>
      <w:r>
        <w:rPr>
          <w:rFonts w:ascii="Calibri" w:cs="Calibri" w:eastAsia="Calibri" w:hAnsi="Calibri"/>
          <w:color w:val="1E293B"/>
          <w:sz w:val="22"/>
          <w:szCs w:val="22"/>
        </w:rPr>
        <w:t xml:space="preserve">In this approach, the Pine Script acts as the primary signal generator. When a trade signal fires on the chart, TradingView sends a webhook alert to a predefined URL where your bot is listening. The bot receives the alert payload (which includes the pair, direction, entry price, score, and R:R ratio), validates the signal one more time using Claude's analysis, and executes the trade via the MT5 bridge if Claude confirms. This is the simplest integration because TradingView handles all the real-time chart monitoring, and the bot only needs to receive and process alerts.</w:t>
      </w:r>
    </w:p>
    <w:p>
      <w:pPr>
        <w:pStyle w:val="ListParagraph"/>
        <w:numPr>
          <w:ilvl w:val="0"/>
          <w:numId w:val="5"/>
        </w:numPr>
        <w:spacing w:after="100" w:line="276"/>
      </w:pPr>
      <w:r>
        <w:rPr>
          <w:rFonts w:ascii="Calibri" w:cs="Calibri" w:eastAsia="Calibri" w:hAnsi="Calibri"/>
          <w:color w:val="1E293B"/>
          <w:sz w:val="22"/>
          <w:szCs w:val="22"/>
        </w:rPr>
        <w:t xml:space="preserve">In TradingView, click the "Alert" button on the script and create a new alert using the "BUY Signal" or "SELL Signal" conditions.</w:t>
      </w:r>
    </w:p>
    <w:p>
      <w:pPr>
        <w:pStyle w:val="ListParagraph"/>
        <w:numPr>
          <w:ilvl w:val="0"/>
          <w:numId w:val="5"/>
        </w:numPr>
        <w:spacing w:after="100" w:line="276"/>
      </w:pPr>
      <w:r>
        <w:rPr>
          <w:rFonts w:ascii="Calibri" w:cs="Calibri" w:eastAsia="Calibri" w:hAnsi="Calibri"/>
          <w:color w:val="1E293B"/>
          <w:sz w:val="22"/>
          <w:szCs w:val="22"/>
        </w:rPr>
        <w:t xml:space="preserve">Set the webhook URL to your bot's alert endpoint (e.g., https://your-bot-domain.com/api/alerts/tradingview).</w:t>
      </w:r>
    </w:p>
    <w:p>
      <w:pPr>
        <w:pStyle w:val="ListParagraph"/>
        <w:numPr>
          <w:ilvl w:val="0"/>
          <w:numId w:val="5"/>
        </w:numPr>
        <w:spacing w:after="100" w:line="276"/>
      </w:pPr>
      <w:r>
        <w:rPr>
          <w:rFonts w:ascii="Calibri" w:cs="Calibri" w:eastAsia="Calibri" w:hAnsi="Calibri"/>
          <w:color w:val="1E293B"/>
          <w:sz w:val="22"/>
          <w:szCs w:val="22"/>
        </w:rPr>
        <w:t xml:space="preserve">Configure the alert message template to include {{strategy.order.action}}, {{close}}, and any custom variables needed by the bot.</w:t>
      </w:r>
    </w:p>
    <w:p>
      <w:pPr>
        <w:pStyle w:val="ListParagraph"/>
        <w:numPr>
          <w:ilvl w:val="0"/>
          <w:numId w:val="5"/>
        </w:numPr>
        <w:spacing w:after="100" w:line="276"/>
      </w:pPr>
      <w:r>
        <w:rPr>
          <w:rFonts w:ascii="Calibri" w:cs="Calibri" w:eastAsia="Calibri" w:hAnsi="Calibri"/>
          <w:color w:val="1E293B"/>
          <w:sz w:val="22"/>
          <w:szCs w:val="22"/>
        </w:rPr>
        <w:t xml:space="preserve">The bot receives the alert, passes it to Claude for confirmation, and executes via MT5 if Claude validates the signal.</w:t>
      </w:r>
    </w:p>
    <w:p>
      <w:pPr>
        <w:spacing w:after="150" w:before="300"/>
      </w:pPr>
      <w:r>
        <w:rPr>
          <w:rFonts w:ascii="Times New Roman" w:cs="Times New Roman" w:eastAsia="Times New Roman" w:hAnsi="Times New Roman"/>
          <w:b/>
          <w:bCs/>
          <w:color w:val="1E293B"/>
          <w:sz w:val="24"/>
          <w:szCs w:val="24"/>
        </w:rPr>
        <w:t xml:space="preserve">Approach B: TradingView MCP Direct (Recommended)</w:t>
      </w:r>
    </w:p>
    <w:p>
      <w:pPr>
        <w:spacing w:after="150" w:line="276"/>
      </w:pPr>
      <w:r>
        <w:rPr>
          <w:rFonts w:ascii="Calibri" w:cs="Calibri" w:eastAsia="Calibri" w:hAnsi="Calibri"/>
          <w:color w:val="1E293B"/>
          <w:sz w:val="22"/>
          <w:szCs w:val="22"/>
        </w:rPr>
        <w:t xml:space="preserve">In this approach, the Claude bot independently connects to TradingView via the TradingView MCP (Model Context Protocol) server. Claude reads chart data directly, including candlesticks, indicators, and drawings, and performs its own Phase 1 and Phase 2 scoring in real-time. The Pine Script serves as a visual validation tool that you use to confirm the bot's scoring logic is working correctly, but it does not generate signals for the bot. Instead, Claude fetches the same data that the Pine Script analyzes and produces its own scored output.</w:t>
      </w:r>
    </w:p>
    <w:p>
      <w:pPr>
        <w:spacing w:after="150" w:line="276"/>
      </w:pPr>
      <w:r>
        <w:rPr>
          <w:rFonts w:ascii="Calibri" w:cs="Calibri" w:eastAsia="Calibri" w:hAnsi="Calibri"/>
          <w:color w:val="1E293B"/>
          <w:sz w:val="22"/>
          <w:szCs w:val="22"/>
        </w:rPr>
        <w:t xml:space="preserve">This is the recommended approach because it leverages Claude's superior reasoning capabilities for Phase 2 SMC analysis while maintaining the Pine Script as a visual debugging tool. You can compare the bot's scoring output with the Pine Script's dashboard to identify any discrepancies and fine-tune the system. The bot uses TradingView MCP to fetch OHLCV candles and indicators on all three timeframes (4H, 1H, 15min), passes this data to Claude along with the user config, and receives a structured JSON response with the full scoring breakdown and trade decision.</w:t>
      </w:r>
    </w:p>
    <w:p>
      <w:pPr>
        <w:spacing w:after="150" w:before="300"/>
      </w:pPr>
      <w:r>
        <w:rPr>
          <w:rFonts w:ascii="Times New Roman" w:cs="Times New Roman" w:eastAsia="Times New Roman" w:hAnsi="Times New Roman"/>
          <w:b/>
          <w:bCs/>
          <w:color w:val="1E293B"/>
          <w:sz w:val="24"/>
          <w:szCs w:val="24"/>
        </w:rPr>
        <w:t xml:space="preserve">Approach C: Hybrid Validation</w:t>
      </w:r>
    </w:p>
    <w:p>
      <w:pPr>
        <w:spacing w:after="150" w:line="276"/>
      </w:pPr>
      <w:r>
        <w:rPr>
          <w:rFonts w:ascii="Calibri" w:cs="Calibri" w:eastAsia="Calibri" w:hAnsi="Calibri"/>
          <w:color w:val="1E293B"/>
          <w:sz w:val="22"/>
          <w:szCs w:val="22"/>
        </w:rPr>
        <w:t xml:space="preserve">The hybrid approach combines both methods: the Pine Script generates signals via webhook alerts, and the Claude bot independently validates each signal before execution. This provides the strongest safety layer because a trade only executes when both the rule-based system (Pine Script) and the AI-based system (Claude) agree that the setup meets the minimum thresholds. The Claude bot may occasionally reject a Pine Script signal if it identifies a structural issue that the rule-based algorithm missed, and vice versa. This dual-confirmation approach has the highest reliability but adds a small latency overhead (typically 2-5 seconds for Claude's validation).</w:t>
      </w:r>
    </w:p>
    <w:p>
      <w:pPr>
        <w:pStyle w:val="Heading2"/>
        <w:spacing w:after="200" w:before="400"/>
      </w:pPr>
      <w:r>
        <w:rPr>
          <w:rFonts w:ascii="Times New Roman" w:cs="Times New Roman" w:eastAsia="Times New Roman" w:hAnsi="Times New Roman"/>
          <w:b/>
          <w:bCs/>
          <w:color w:val="020617"/>
          <w:sz w:val="28"/>
          <w:szCs w:val="28"/>
        </w:rPr>
        <w:t xml:space="preserve">Integration Data Flow</w:t>
      </w:r>
    </w:p>
    <w:p>
      <w:pPr>
        <w:spacing w:after="150" w:line="276"/>
      </w:pPr>
      <w:r>
        <w:rPr>
          <w:rFonts w:ascii="Calibri" w:cs="Calibri" w:eastAsia="Calibri" w:hAnsi="Calibri"/>
          <w:color w:val="1E293B"/>
          <w:sz w:val="22"/>
          <w:szCs w:val="22"/>
        </w:rPr>
        <w:t xml:space="preserve">Regardless of which approach you choose, the data flow between components follows the same general pattern. The TradingView chart serves as the single source of truth for market data, providing OHLCV candlesticks, technical indicators, and time-series data across multiple timeframes. The scoring engine (whether Pine Script or Claude) processes this data through the Phase 1 and Phase 2 pipelines, producing a structured output with scores, bias direction, entry/SL/TP levels, and lot size. This output is then passed to the risk management layer, which validates that the trade fits within the account's risk parameters (maximum loss, maximum SL pips, daily loss limits). Finally, the execution layer sends the order to the broker via the MT5 bridge.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600"/>
        <w:gridCol w:w="3100"/>
        <w:gridCol w:w="3600"/>
      </w:tblGrid>
      <w:tr>
        <w:trPr>
          <w:tblHeader/>
        </w:trPr>
        <w:tc>
          <w:tcPr>
            <w:tcW w:type="dxa" w:w="26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Component</w:t>
            </w:r>
          </w:p>
        </w:tc>
        <w:tc>
          <w:tcPr>
            <w:tcW w:type="dxa" w:w="31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Role</w:t>
            </w:r>
          </w:p>
        </w:tc>
        <w:tc>
          <w:tcPr>
            <w:tcW w:type="dxa" w:w="36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Integration Method</w:t>
            </w:r>
          </w:p>
        </w:tc>
      </w:tr>
      <w:tr>
        <w:tc>
          <w:tcPr>
            <w:tcW w:type="dxa" w:w="2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TradingView Chart</w:t>
            </w:r>
          </w:p>
        </w:tc>
        <w:tc>
          <w:tcPr>
            <w:tcW w:type="dxa" w:w="31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Market data source</w:t>
            </w:r>
          </w:p>
        </w:tc>
        <w:tc>
          <w:tcPr>
            <w:tcW w:type="dxa" w:w="3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MCP server or built-in data feed</w:t>
            </w:r>
          </w:p>
        </w:tc>
      </w:tr>
      <w:tr>
        <w:tc>
          <w:tcPr>
            <w:tcW w:type="dxa" w:w="2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Pine Script</w:t>
            </w:r>
          </w:p>
        </w:tc>
        <w:tc>
          <w:tcPr>
            <w:tcW w:type="dxa" w:w="31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Visual validation + alerts</w:t>
            </w:r>
          </w:p>
        </w:tc>
        <w:tc>
          <w:tcPr>
            <w:tcW w:type="dxa" w:w="3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Webhook alerts to bot endpoint</w:t>
            </w:r>
          </w:p>
        </w:tc>
      </w:tr>
      <w:tr>
        <w:tc>
          <w:tcPr>
            <w:tcW w:type="dxa" w:w="2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Claude AI</w:t>
            </w:r>
          </w:p>
        </w:tc>
        <w:tc>
          <w:tcPr>
            <w:tcW w:type="dxa" w:w="31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SMC analysis + scoring</w:t>
            </w:r>
          </w:p>
        </w:tc>
        <w:tc>
          <w:tcPr>
            <w:tcW w:type="dxa" w:w="3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z-ai-web-dev-sdk (LLM API)</w:t>
            </w:r>
          </w:p>
        </w:tc>
      </w:tr>
      <w:tr>
        <w:tc>
          <w:tcPr>
            <w:tcW w:type="dxa" w:w="2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Risk Manager</w:t>
            </w:r>
          </w:p>
        </w:tc>
        <w:tc>
          <w:tcPr>
            <w:tcW w:type="dxa" w:w="31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Position sizing + limits</w:t>
            </w:r>
          </w:p>
        </w:tc>
        <w:tc>
          <w:tcPr>
            <w:tcW w:type="dxa" w:w="3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config.json parameters</w:t>
            </w:r>
          </w:p>
        </w:tc>
      </w:tr>
      <w:tr>
        <w:tc>
          <w:tcPr>
            <w:tcW w:type="dxa" w:w="2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MT5 Bridge</w:t>
            </w:r>
          </w:p>
        </w:tc>
        <w:tc>
          <w:tcPr>
            <w:tcW w:type="dxa" w:w="31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Trade execution</w:t>
            </w:r>
          </w:p>
        </w:tc>
        <w:tc>
          <w:tcPr>
            <w:tcW w:type="dxa" w:w="3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MetaTrader 5 API</w:t>
            </w:r>
          </w:p>
        </w:tc>
      </w:tr>
      <w:tr>
        <w:tc>
          <w:tcPr>
            <w:tcW w:type="dxa" w:w="2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Scheduler</w:t>
            </w:r>
          </w:p>
        </w:tc>
        <w:tc>
          <w:tcPr>
            <w:tcW w:type="dxa" w:w="31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Dynamic timing</w:t>
            </w:r>
          </w:p>
        </w:tc>
        <w:tc>
          <w:tcPr>
            <w:tcW w:type="dxa" w:w="3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Node.js cron / Claude-decided</w:t>
            </w:r>
          </w:p>
        </w:tc>
      </w:tr>
    </w:tbl>
    <w:p>
      <w:pPr>
        <w:spacing w:after="200" w:before="80"/>
        <w:jc w:val="center"/>
      </w:pPr>
      <w:r>
        <w:rPr>
          <w:i/>
          <w:iCs/>
          <w:color w:val="64748B"/>
          <w:sz w:val="18"/>
          <w:szCs w:val="18"/>
        </w:rPr>
        <w:t xml:space="preserve">Table 6: System component integration map</w:t>
      </w:r>
    </w:p>
    <w:p>
      <w:pPr>
        <w:pStyle w:val="Heading2"/>
        <w:spacing w:after="200" w:before="400"/>
      </w:pPr>
      <w:r>
        <w:rPr>
          <w:rFonts w:ascii="Times New Roman" w:cs="Times New Roman" w:eastAsia="Times New Roman" w:hAnsi="Times New Roman"/>
          <w:b/>
          <w:bCs/>
          <w:color w:val="020617"/>
          <w:sz w:val="28"/>
          <w:szCs w:val="28"/>
        </w:rPr>
        <w:t xml:space="preserve">Pine Script vs Claude Bot: Key Differences</w:t>
      </w:r>
    </w:p>
    <w:p>
      <w:pPr>
        <w:spacing w:after="150" w:line="276"/>
      </w:pPr>
      <w:r>
        <w:rPr>
          <w:rFonts w:ascii="Calibri" w:cs="Calibri" w:eastAsia="Calibri" w:hAnsi="Calibri"/>
          <w:color w:val="1E293B"/>
          <w:sz w:val="22"/>
          <w:szCs w:val="22"/>
        </w:rPr>
        <w:t xml:space="preserve">Understanding the differences between the Pine Script implementation and the Claude bot implementation is critical for setting correct expectations during validation. The Pine Script is a deterministic, rule-based system that evaluates conditions using fixed thresholds and mathematical comparisons. If RSI is 42 and the pullback zone is 35-52, the Pine Script awards the full 3 points because the condition is met. The Claude bot, however, can evaluate the same RSI reading with additional context: it might note that RSI has been declining for 5 consecutive bars while price has barely moved (indicating bearish divergence that the rule-based system cannot detect), and it might reduce the score accordingly.</w:t>
      </w:r>
    </w:p>
    <w:p>
      <w:pPr>
        <w:spacing w:after="150" w:line="276"/>
      </w:pPr>
      <w:r>
        <w:rPr>
          <w:rFonts w:ascii="Calibri" w:cs="Calibri" w:eastAsia="Calibri" w:hAnsi="Calibri"/>
          <w:color w:val="1E293B"/>
          <w:sz w:val="22"/>
          <w:szCs w:val="22"/>
        </w:rPr>
        <w:t xml:space="preserve">This means the Claude bot will occasionally disagree with the Pine Script's scoring. In most cases, the Claude bot will be more conservative (assigning fewer points) because it can see nuances that the rule-based system cannot. For Phase 2 concepts like order blocks and market structure, the difference is even more significant. The Pine Script uses a simplified algorithm that looks for the last opposing candle before an impulse, while Claude can analyze the entire price action context to determine whether an order block is truly institutional-grade or just a coincidental pattern. This is why the Claude bot is the primary execution engine and the Pine Script is the validation layer, not the other way around.</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3300"/>
        <w:gridCol w:w="3200"/>
      </w:tblGrid>
      <w:tr>
        <w:trPr>
          <w:tblHeader/>
        </w:trPr>
        <w:tc>
          <w:tcPr>
            <w:tcW w:type="dxa" w:w="28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Feature</w:t>
            </w:r>
          </w:p>
        </w:tc>
        <w:tc>
          <w:tcPr>
            <w:tcW w:type="dxa" w:w="33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Pine Script</w:t>
            </w:r>
          </w:p>
        </w:tc>
        <w:tc>
          <w:tcPr>
            <w:tcW w:type="dxa" w:w="32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Claude Bot</w:t>
            </w:r>
          </w:p>
        </w:tc>
      </w:tr>
      <w:tr>
        <w:tc>
          <w:tcPr>
            <w:tcW w:type="dxa" w:w="28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Phase 1 Scoring</w:t>
            </w:r>
          </w:p>
        </w:tc>
        <w:tc>
          <w:tcPr>
            <w:tcW w:type="dxa" w:w="33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Deterministic rules</w:t>
            </w:r>
          </w:p>
        </w:tc>
        <w:tc>
          <w:tcPr>
            <w:tcW w:type="dxa" w:w="32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Rules + contextual reasoning</w:t>
            </w:r>
          </w:p>
        </w:tc>
      </w:tr>
      <w:tr>
        <w:tc>
          <w:tcPr>
            <w:tcW w:type="dxa" w:w="28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Phase 2 SMC Detection</w:t>
            </w:r>
          </w:p>
        </w:tc>
        <w:tc>
          <w:tcPr>
            <w:tcW w:type="dxa" w:w="33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Pattern-matching algorithms</w:t>
            </w:r>
          </w:p>
        </w:tc>
        <w:tc>
          <w:tcPr>
            <w:tcW w:type="dxa" w:w="32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Raw candle analysis + context</w:t>
            </w:r>
          </w:p>
        </w:tc>
      </w:tr>
      <w:tr>
        <w:tc>
          <w:tcPr>
            <w:tcW w:type="dxa" w:w="28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News Filtering</w:t>
            </w:r>
          </w:p>
        </w:tc>
        <w:tc>
          <w:tcPr>
            <w:tcW w:type="dxa" w:w="33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Not available</w:t>
            </w:r>
          </w:p>
        </w:tc>
        <w:tc>
          <w:tcPr>
            <w:tcW w:type="dxa" w:w="32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Full news sentiment analysis</w:t>
            </w:r>
          </w:p>
        </w:tc>
      </w:tr>
      <w:tr>
        <w:tc>
          <w:tcPr>
            <w:tcW w:type="dxa" w:w="28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Scheduling</w:t>
            </w:r>
          </w:p>
        </w:tc>
        <w:tc>
          <w:tcPr>
            <w:tcW w:type="dxa" w:w="33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None (real-time only)</w:t>
            </w:r>
          </w:p>
        </w:tc>
        <w:tc>
          <w:tcPr>
            <w:tcW w:type="dxa" w:w="32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Dynamic scheduling based on analysis</w:t>
            </w:r>
          </w:p>
        </w:tc>
      </w:tr>
      <w:tr>
        <w:tc>
          <w:tcPr>
            <w:tcW w:type="dxa" w:w="28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Execution</w:t>
            </w:r>
          </w:p>
        </w:tc>
        <w:tc>
          <w:tcPr>
            <w:tcW w:type="dxa" w:w="33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Alerts only (manual or webhook)</w:t>
            </w:r>
          </w:p>
        </w:tc>
        <w:tc>
          <w:tcPr>
            <w:tcW w:type="dxa" w:w="32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Automated via MT5 bridge</w:t>
            </w:r>
          </w:p>
        </w:tc>
      </w:tr>
      <w:tr>
        <w:tc>
          <w:tcPr>
            <w:tcW w:type="dxa" w:w="28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Latency</w:t>
            </w:r>
          </w:p>
        </w:tc>
        <w:tc>
          <w:tcPr>
            <w:tcW w:type="dxa" w:w="33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Instant (on-candle close)</w:t>
            </w:r>
          </w:p>
        </w:tc>
        <w:tc>
          <w:tcPr>
            <w:tcW w:type="dxa" w:w="32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3-8 seconds (Claude analysis time)</w:t>
            </w:r>
          </w:p>
        </w:tc>
      </w:tr>
    </w:tbl>
    <w:p>
      <w:pPr>
        <w:spacing w:after="200" w:before="80"/>
        <w:jc w:val="center"/>
      </w:pPr>
      <w:r>
        <w:rPr>
          <w:i/>
          <w:iCs/>
          <w:color w:val="64748B"/>
          <w:sz w:val="18"/>
          <w:szCs w:val="18"/>
        </w:rPr>
        <w:t xml:space="preserve">Table 7: Pine Script vs Claude bot comparison</w:t>
      </w:r>
    </w:p>
    <w:p>
      <w:pPr>
        <w:pStyle w:val="Heading1"/>
        <w:spacing w:after="300" w:before="600"/>
      </w:pPr>
      <w:r>
        <w:rPr>
          <w:rFonts w:ascii="Times New Roman" w:cs="Times New Roman" w:eastAsia="Times New Roman" w:hAnsi="Times New Roman"/>
          <w:b/>
          <w:bCs/>
          <w:color w:val="020617"/>
          <w:sz w:val="36"/>
          <w:szCs w:val="36"/>
        </w:rPr>
        <w:t xml:space="preserve">Troubleshooting</w:t>
      </w:r>
    </w:p>
    <w:p>
      <w:pPr>
        <w:pStyle w:val="Heading2"/>
        <w:spacing w:after="200" w:before="400"/>
      </w:pPr>
      <w:r>
        <w:rPr>
          <w:rFonts w:ascii="Times New Roman" w:cs="Times New Roman" w:eastAsia="Times New Roman" w:hAnsi="Times New Roman"/>
          <w:b/>
          <w:bCs/>
          <w:color w:val="020617"/>
          <w:sz w:val="28"/>
          <w:szCs w:val="28"/>
        </w:rPr>
        <w:t xml:space="preserve">Common Issues and Solutions</w:t>
      </w:r>
    </w:p>
    <w:p>
      <w:pPr>
        <w:spacing w:after="150" w:line="276"/>
      </w:pPr>
      <w:r>
        <w:rPr>
          <w:rFonts w:ascii="Calibri" w:cs="Calibri" w:eastAsia="Calibri" w:hAnsi="Calibri"/>
          <w:color w:val="1E293B"/>
          <w:sz w:val="22"/>
          <w:szCs w:val="22"/>
        </w:rPr>
        <w:t xml:space="preserve">If the script does not compile or produces unexpected results, check the following common issues before making any modifications to the code. Most problems are related to TradingView account limitations, incorrect chart settings, or parameter misconfiguration rather than bugs in the script itself.</w:t>
      </w:r>
    </w:p>
    <w:p>
      <w:pPr>
        <w:spacing w:after="150" w:line="276"/>
      </w:pPr>
      <w:r>
        <w:rPr>
          <w:rFonts w:ascii="Calibri" w:cs="Calibri" w:eastAsia="Calibri" w:hAnsi="Calibri"/>
          <w:b/>
          <w:bCs/>
          <w:color w:val="020617"/>
          <w:sz w:val="22"/>
          <w:szCs w:val="22"/>
        </w:rPr>
        <w:t xml:space="preserve">No signals appearing on chart: </w:t>
      </w:r>
      <w:r>
        <w:rPr>
          <w:rFonts w:ascii="Calibri" w:cs="Calibri" w:eastAsia="Calibri" w:hAnsi="Calibri"/>
          <w:color w:val="1E293B"/>
          <w:sz w:val="22"/>
          <w:szCs w:val="22"/>
        </w:rPr>
        <w:t xml:space="preserve">The most common cause is running the script on a timeframe other than 15 minutes. The script is specifically designed for 15-minute charts and uses multi-timeframe requests that assume the base timeframe is 15 minutes. Switch your chart to 15 minutes and check if signals appear. If you are on the correct timeframe and still see no signals, the scoring thresholds may be too strict for current market conditions. Try temporarily lowering the Phase 1 minimum to 25, the Phase 2 minimum to 15, and the total minimum to 50 to see if signals appear. If they do, gradually raise the thresholds back to the recommended levels.</w:t>
      </w:r>
    </w:p>
    <w:p>
      <w:pPr>
        <w:spacing w:after="150" w:line="276"/>
      </w:pPr>
      <w:r>
        <w:rPr>
          <w:rFonts w:ascii="Calibri" w:cs="Calibri" w:eastAsia="Calibri" w:hAnsi="Calibri"/>
          <w:b/>
          <w:bCs/>
          <w:color w:val="020617"/>
          <w:sz w:val="22"/>
          <w:szCs w:val="22"/>
        </w:rPr>
        <w:t xml:space="preserve">Compilation error on line with request.security: </w:t>
      </w:r>
      <w:r>
        <w:rPr>
          <w:rFonts w:ascii="Calibri" w:cs="Calibri" w:eastAsia="Calibri" w:hAnsi="Calibri"/>
          <w:color w:val="1E293B"/>
          <w:sz w:val="22"/>
          <w:szCs w:val="22"/>
        </w:rPr>
        <w:t xml:space="preserve">Ensure you are using Pine Script v5 (the script declares this with the //@version=5 directive at the top). Older versions of Pine Script do not support the tuple-returning syntax used in request.security() calls. Also verify that your TradingView account supports multi-timeframe data access (free accounts have some limitations on historical data depth).</w:t>
      </w:r>
    </w:p>
    <w:p>
      <w:pPr>
        <w:spacing w:after="150" w:line="276"/>
      </w:pPr>
      <w:r>
        <w:rPr>
          <w:rFonts w:ascii="Calibri" w:cs="Calibri" w:eastAsia="Calibri" w:hAnsi="Calibri"/>
          <w:b/>
          <w:bCs/>
          <w:color w:val="020617"/>
          <w:sz w:val="22"/>
          <w:szCs w:val="22"/>
        </w:rPr>
        <w:t xml:space="preserve">Dashboard scores all showing zero: </w:t>
      </w:r>
      <w:r>
        <w:rPr>
          <w:rFonts w:ascii="Calibri" w:cs="Calibri" w:eastAsia="Calibri" w:hAnsi="Calibri"/>
          <w:color w:val="1E293B"/>
          <w:sz w:val="22"/>
          <w:szCs w:val="22"/>
        </w:rPr>
        <w:t xml:space="preserve">This typically occurs when the script cannot access higher-timeframe data. On newly opened charts, Pine Script may need a few bars to accumulate enough data for the multi-timeframe calculations. Wait for 3-5 bars to close on the 15-minute chart and check if the dashboard updates. If it still shows zeros, the issue may be that TradingView is rate-limiting the security requests, which can happen when too many indicators are running simultaneously on the same chart.</w:t>
      </w:r>
    </w:p>
    <w:p>
      <w:pPr>
        <w:spacing w:after="150" w:line="276"/>
      </w:pPr>
      <w:r>
        <w:rPr>
          <w:rFonts w:ascii="Calibri" w:cs="Calibri" w:eastAsia="Calibri" w:hAnsi="Calibri"/>
          <w:b/>
          <w:bCs/>
          <w:color w:val="020617"/>
          <w:sz w:val="22"/>
          <w:szCs w:val="22"/>
        </w:rPr>
        <w:t xml:space="preserve">Order blocks or FVGs not appearing: </w:t>
      </w:r>
      <w:r>
        <w:rPr>
          <w:rFonts w:ascii="Calibri" w:cs="Calibri" w:eastAsia="Calibri" w:hAnsi="Calibri"/>
          <w:color w:val="1E293B"/>
          <w:sz w:val="22"/>
          <w:szCs w:val="22"/>
        </w:rPr>
        <w:t xml:space="preserve">These Smart Money concepts require specific market conditions to form (an impulse move for order blocks, a three-candle gap for FVGs). They will not appear on every chart or during every market phase. During strong trending markets, order blocks should appear frequently. During ranging or low-volatility markets, both order blocks and FVGs may be absent for extended periods, which is expected behavior. Check that the "Impulse Move (pips)" parameter is set appropriately for your pair (10 pips is good for EURUSD but may need adjustment for more volatile pairs like GBPJPY).</w:t>
      </w:r>
    </w:p>
    <w:p>
      <w:pPr>
        <w:spacing w:after="150" w:line="276"/>
      </w:pPr>
      <w:r>
        <w:rPr>
          <w:rFonts w:ascii="Calibri" w:cs="Calibri" w:eastAsia="Calibri" w:hAnsi="Calibri"/>
          <w:b/>
          <w:bCs/>
          <w:color w:val="020617"/>
          <w:sz w:val="22"/>
          <w:szCs w:val="22"/>
        </w:rPr>
        <w:t xml:space="preserve">Signals appear but SL/TP lines look wrong: </w:t>
      </w:r>
      <w:r>
        <w:rPr>
          <w:rFonts w:ascii="Calibri" w:cs="Calibri" w:eastAsia="Calibri" w:hAnsi="Calibri"/>
          <w:color w:val="1E293B"/>
          <w:sz w:val="22"/>
          <w:szCs w:val="22"/>
        </w:rPr>
        <w:t xml:space="preserve">The stop loss is placed at the most recent swing low (for buys) or swing high (for sells), which may sometimes be very close or very far from the entry depending on market structure. If the SL exceeds the maximum allowed pips (18 pips with the default $40/$2 configuration), the system automatically tightens it to the maximum. Check the "Max Loss Per Trade" and "Spread (pips)" settings in the configuration panel to ensure they match your actual account parameters.</w:t>
      </w:r>
    </w:p>
    <w:p>
      <w:pPr>
        <w:sectPr>
          <w:headerReference w:type="default" r:id="rId7"/>
          <w:footerReference w:type="default" r:id="rId8"/>
          <w:pgSz w:w="11906" w:h="16838" w:orient="portrait"/>
          <w:pgMar w:top="1800" w:right="1440" w:bottom="1440" w:left="1440" w:header="708" w:footer="708" w:gutter="0"/>
          <w:pgNumType/>
          <w:docGrid w:linePitch="360"/>
        </w:sectPr>
      </w:pPr>
    </w:p>
    <w:p>
      <w:pPr>
        <w:spacing w:before="6000"/>
      </w:pPr>
    </w:p>
    <w:p>
      <w:pPr>
        <w:spacing w:after="200"/>
        <w:jc w:val="center"/>
      </w:pPr>
      <w:r>
        <w:rPr>
          <w:rFonts w:ascii="Times New Roman" w:cs="Times New Roman" w:eastAsia="Times New Roman" w:hAnsi="Times New Roman"/>
          <w:b/>
          <w:bCs/>
          <w:color w:val="020617"/>
          <w:sz w:val="36"/>
          <w:szCs w:val="36"/>
        </w:rPr>
        <w:t xml:space="preserve">Smart Money Scoring System</w:t>
      </w:r>
    </w:p>
    <w:p>
      <w:pPr>
        <w:spacing w:after="100"/>
        <w:jc w:val="center"/>
      </w:pPr>
      <w:r>
        <w:rPr>
          <w:rFonts w:ascii="Calibri" w:cs="Calibri" w:eastAsia="Calibri" w:hAnsi="Calibri"/>
          <w:color w:val="64748B"/>
          <w:sz w:val="24"/>
          <w:szCs w:val="24"/>
        </w:rPr>
        <w:t xml:space="preserve">Phase 1 &amp; Phase 2 Architecture</w:t>
      </w:r>
    </w:p>
    <w:p>
      <w:pPr>
        <w:spacing w:after="50" w:before="200"/>
        <w:jc w:val="center"/>
      </w:pPr>
      <w:r>
        <w:rPr>
          <w:color w:val="94A3B8"/>
          <w:sz w:val="20"/>
          <w:szCs w:val="20"/>
        </w:rPr>
        <w:t xml:space="preserve">────────────────────</w:t>
      </w:r>
    </w:p>
    <w:p>
      <w:pPr>
        <w:jc w:val="center"/>
      </w:pPr>
      <w:r>
        <w:rPr>
          <w:rFonts w:ascii="Calibri" w:cs="Calibri" w:eastAsia="Calibri" w:hAnsi="Calibri"/>
          <w:color w:val="94A3B8"/>
          <w:sz w:val="18"/>
          <w:szCs w:val="18"/>
        </w:rPr>
        <w:t xml:space="preserve">Claude-Powered Trading Bot  |  Pine Script v5  |  Multi-Timeframe Analysis</w:t>
      </w:r>
    </w:p>
    <w:sectPr>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 </w:t>
    </w:r>
    <w:r>
      <w:rPr>
        <w:color w:val="94A3B8"/>
        <w:sz w:val="18"/>
        <w:szCs w:val="18"/>
      </w:rPr>
      <w:fldChar w:fldCharType="begin"/>
      <w:instrText xml:space="preserve">PAGE</w:instrText>
      <w:fldChar w:fldCharType="separate"/>
      <w:fldChar w:fldCharType="end"/>
    </w:r>
    <w:r>
      <w:rPr>
        <w:color w:val="94A3B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4A3B8"/>
        <w:sz w:val="18"/>
        <w:szCs w:val="18"/>
      </w:rPr>
      <w:t xml:space="preserve">Smart Money Scoring System — Setup &amp;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200" w:before="400"/>
      <w:outlineLvl w:val="1"/>
    </w:pPr>
    <w:rPr>
      <w:rFonts w:ascii="Times New Roman" w:cs="Times New Roman" w:eastAsia="Times New Roman" w:hAnsi="Times New Roman"/>
      <w:b/>
      <w:bCs/>
      <w:color w:val="02061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2026-04-08T05:01:59.406Z</dcterms:created>
  <dcterms:modified xsi:type="dcterms:W3CDTF">2026-04-08T05:01:59.406Z</dcterms:modified>
</cp:coreProperties>
</file>

<file path=docProps/custom.xml><?xml version="1.0" encoding="utf-8"?>
<Properties xmlns="http://schemas.openxmlformats.org/officeDocument/2006/custom-properties" xmlns:vt="http://schemas.openxmlformats.org/officeDocument/2006/docPropsVTypes"/>
</file>