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Reference Guide - AI-Powered-Marketing-Content-Generation (v5)</w:t>
      </w:r>
    </w:p>
    <w:p>
      <w:r>
        <w:t>Prepared for: replacing bracketed [n] citations with Mendeley-managed citations. Report itself was NOT modified.</w:t>
      </w:r>
    </w:p>
    <w:p>
      <w:pPr>
        <w:pStyle w:val="Heading1"/>
      </w:pPr>
      <w:r>
        <w:t>1. Downloaded Papers (saved locally)</w:t>
      </w:r>
    </w:p>
    <w:p>
      <w:r>
        <w:t>Folder: AI-Powered-Marketing-Content-Generation/docs/capstone2_report/Citations_Downloaded/</w:t>
      </w:r>
    </w:p>
    <w:p>
      <w:r>
        <w:t>Add each PDF below to Mendeley via File &gt; Add Files, then let Mendeley's metadata lookup confirm the citation details (author/year/title) before inserting.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Authors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Venue / Source</w:t>
            </w:r>
          </w:p>
        </w:tc>
        <w:tc>
          <w:tcPr>
            <w:tcW w:type="dxa" w:w="1728"/>
          </w:tcPr>
          <w:p>
            <w:r>
              <w:t>Downloaded file (in Citations_Downloaded/)</w:t>
            </w:r>
          </w:p>
        </w:tc>
      </w:tr>
      <w:tr>
        <w:tc>
          <w:tcPr>
            <w:tcW w:type="dxa" w:w="1728"/>
          </w:tcPr>
          <w:p>
            <w:r>
              <w:t>[1]</w:t>
            </w:r>
          </w:p>
        </w:tc>
        <w:tc>
          <w:tcPr>
            <w:tcW w:type="dxa" w:w="1728"/>
          </w:tcPr>
          <w:p>
            <w:r>
              <w:t>Huang, M.-H. &amp; Rust, R. T.</w:t>
            </w:r>
          </w:p>
        </w:tc>
        <w:tc>
          <w:tcPr>
            <w:tcW w:type="dxa" w:w="1728"/>
          </w:tcPr>
          <w:p>
            <w:r>
              <w:t>A strategic framework for artificial intelligence in marketing</w:t>
            </w:r>
          </w:p>
        </w:tc>
        <w:tc>
          <w:tcPr>
            <w:tcW w:type="dxa" w:w="1728"/>
          </w:tcPr>
          <w:p>
            <w:r>
              <w:t>Journal of the Academy of Marketing Science, 49(1), 30-50, 2021</w:t>
              <w:br/>
              <w:t>doi.org/10.1007/s11747-020-00749-9</w:t>
            </w:r>
          </w:p>
        </w:tc>
        <w:tc>
          <w:tcPr>
            <w:tcW w:type="dxa" w:w="1728"/>
          </w:tcPr>
          <w:p>
            <w:r>
              <w:t>ref01_HuangRust_StrategicFramework.pdf</w:t>
            </w:r>
          </w:p>
        </w:tc>
      </w:tr>
      <w:tr>
        <w:tc>
          <w:tcPr>
            <w:tcW w:type="dxa" w:w="1728"/>
          </w:tcPr>
          <w:p>
            <w:r>
              <w:t>[2]</w:t>
            </w:r>
          </w:p>
        </w:tc>
        <w:tc>
          <w:tcPr>
            <w:tcW w:type="dxa" w:w="1728"/>
          </w:tcPr>
          <w:p>
            <w:r>
              <w:t>Grewal, D., Satornino, C. B., Davenport, T., &amp; Guha, A.</w:t>
            </w:r>
          </w:p>
        </w:tc>
        <w:tc>
          <w:tcPr>
            <w:tcW w:type="dxa" w:w="1728"/>
          </w:tcPr>
          <w:p>
            <w:r>
              <w:t>How generative AI is shaping the future of marketing</w:t>
            </w:r>
          </w:p>
        </w:tc>
        <w:tc>
          <w:tcPr>
            <w:tcW w:type="dxa" w:w="1728"/>
          </w:tcPr>
          <w:p>
            <w:r>
              <w:t>Journal of the Academy of Marketing Science, 53(3), 702-722, 2025</w:t>
              <w:br/>
              <w:t>doi.org/10.1007/s11747-024-01064-3</w:t>
            </w:r>
          </w:p>
        </w:tc>
        <w:tc>
          <w:tcPr>
            <w:tcW w:type="dxa" w:w="1728"/>
          </w:tcPr>
          <w:p>
            <w:r>
              <w:t>ref02_Grewal_GenAIMarketing.pdf</w:t>
            </w:r>
          </w:p>
        </w:tc>
      </w:tr>
      <w:tr>
        <w:tc>
          <w:tcPr>
            <w:tcW w:type="dxa" w:w="1728"/>
          </w:tcPr>
          <w:p>
            <w:r>
              <w:t>[3]</w:t>
            </w:r>
          </w:p>
        </w:tc>
        <w:tc>
          <w:tcPr>
            <w:tcW w:type="dxa" w:w="1728"/>
          </w:tcPr>
          <w:p>
            <w:r>
              <w:t>Chen, Q., Lin, J., Zhang, Y., Yang, H., Zhou, J., &amp; Tang, J.</w:t>
            </w:r>
          </w:p>
        </w:tc>
        <w:tc>
          <w:tcPr>
            <w:tcW w:type="dxa" w:w="1728"/>
          </w:tcPr>
          <w:p>
            <w:r>
              <w:t>Towards knowledge-based personalized product description generation in e-commerce (KOBE)</w:t>
            </w:r>
          </w:p>
        </w:tc>
        <w:tc>
          <w:tcPr>
            <w:tcW w:type="dxa" w:w="1728"/>
          </w:tcPr>
          <w:p>
            <w:r>
              <w:t>KDD '19, pp. 3040-3050, 2019</w:t>
              <w:br/>
              <w:t>arxiv.org/abs/1903.12457</w:t>
            </w:r>
          </w:p>
        </w:tc>
        <w:tc>
          <w:tcPr>
            <w:tcW w:type="dxa" w:w="1728"/>
          </w:tcPr>
          <w:p>
            <w:r>
              <w:t>ref03_KOBE_Chen.pdf</w:t>
            </w:r>
          </w:p>
        </w:tc>
      </w:tr>
      <w:tr>
        <w:tc>
          <w:tcPr>
            <w:tcW w:type="dxa" w:w="1728"/>
          </w:tcPr>
          <w:p>
            <w:r>
              <w:t>[4]</w:t>
            </w:r>
          </w:p>
        </w:tc>
        <w:tc>
          <w:tcPr>
            <w:tcW w:type="dxa" w:w="1728"/>
          </w:tcPr>
          <w:p>
            <w:r>
              <w:t>Ji, Z. et al.</w:t>
            </w:r>
          </w:p>
        </w:tc>
        <w:tc>
          <w:tcPr>
            <w:tcW w:type="dxa" w:w="1728"/>
          </w:tcPr>
          <w:p>
            <w:r>
              <w:t>Survey of hallucination in natural language generation</w:t>
            </w:r>
          </w:p>
        </w:tc>
        <w:tc>
          <w:tcPr>
            <w:tcW w:type="dxa" w:w="1728"/>
          </w:tcPr>
          <w:p>
            <w:r>
              <w:t>ACM Computing Surveys, 55(12), art. 248, 2023</w:t>
              <w:br/>
              <w:t>doi.org/10.1145/3571730 (arXiv:2202.03629)</w:t>
            </w:r>
          </w:p>
        </w:tc>
        <w:tc>
          <w:tcPr>
            <w:tcW w:type="dxa" w:w="1728"/>
          </w:tcPr>
          <w:p>
            <w:r>
              <w:t>ref04_Ji_HallucinationSurvey.pdf</w:t>
            </w:r>
          </w:p>
        </w:tc>
      </w:tr>
      <w:tr>
        <w:tc>
          <w:tcPr>
            <w:tcW w:type="dxa" w:w="1728"/>
          </w:tcPr>
          <w:p>
            <w:r>
              <w:t>[6]</w:t>
            </w:r>
          </w:p>
        </w:tc>
        <w:tc>
          <w:tcPr>
            <w:tcW w:type="dxa" w:w="1728"/>
          </w:tcPr>
          <w:p>
            <w:r>
              <w:t>Huang, L. et al.</w:t>
            </w:r>
          </w:p>
        </w:tc>
        <w:tc>
          <w:tcPr>
            <w:tcW w:type="dxa" w:w="1728"/>
          </w:tcPr>
          <w:p>
            <w:r>
              <w:t>A survey on hallucination in large language models: Principles, taxonomy, challenges, and open questions</w:t>
            </w:r>
          </w:p>
        </w:tc>
        <w:tc>
          <w:tcPr>
            <w:tcW w:type="dxa" w:w="1728"/>
          </w:tcPr>
          <w:p>
            <w:r>
              <w:t>ACM Transactions on Information Systems, 43(2), 2025</w:t>
              <w:br/>
              <w:t>doi.org/10.1145/3703155 (arXiv:2311.05232)</w:t>
            </w:r>
          </w:p>
        </w:tc>
        <w:tc>
          <w:tcPr>
            <w:tcW w:type="dxa" w:w="1728"/>
          </w:tcPr>
          <w:p>
            <w:r>
              <w:t>ref06_Huang_LLMHallucinationSurvey.pdf</w:t>
            </w:r>
          </w:p>
        </w:tc>
      </w:tr>
      <w:tr>
        <w:tc>
          <w:tcPr>
            <w:tcW w:type="dxa" w:w="1728"/>
          </w:tcPr>
          <w:p>
            <w:r>
              <w:t>[7]</w:t>
            </w:r>
          </w:p>
        </w:tc>
        <w:tc>
          <w:tcPr>
            <w:tcW w:type="dxa" w:w="1728"/>
          </w:tcPr>
          <w:p>
            <w:r>
              <w:t>Maynez, J., Narayan, S., Bohnet, B., &amp; McDonald, R.</w:t>
            </w:r>
          </w:p>
        </w:tc>
        <w:tc>
          <w:tcPr>
            <w:tcW w:type="dxa" w:w="1728"/>
          </w:tcPr>
          <w:p>
            <w:r>
              <w:t>On faithfulness and factuality in abstractive summarization</w:t>
            </w:r>
          </w:p>
        </w:tc>
        <w:tc>
          <w:tcPr>
            <w:tcW w:type="dxa" w:w="1728"/>
          </w:tcPr>
          <w:p>
            <w:r>
              <w:t>ACL 2020, pp. 1906-1919</w:t>
              <w:br/>
              <w:t>doi.org/10.18653/v1/2020.acl-main.173</w:t>
            </w:r>
          </w:p>
        </w:tc>
        <w:tc>
          <w:tcPr>
            <w:tcW w:type="dxa" w:w="1728"/>
          </w:tcPr>
          <w:p>
            <w:r>
              <w:t>ref07_Maynez_Faithfulness.pdf</w:t>
            </w:r>
          </w:p>
        </w:tc>
      </w:tr>
      <w:tr>
        <w:tc>
          <w:tcPr>
            <w:tcW w:type="dxa" w:w="1728"/>
          </w:tcPr>
          <w:p>
            <w:r>
              <w:t>[8]</w:t>
            </w:r>
          </w:p>
        </w:tc>
        <w:tc>
          <w:tcPr>
            <w:tcW w:type="dxa" w:w="1728"/>
          </w:tcPr>
          <w:p>
            <w:r>
              <w:t>Rashkin, H. et al.</w:t>
            </w:r>
          </w:p>
        </w:tc>
        <w:tc>
          <w:tcPr>
            <w:tcW w:type="dxa" w:w="1728"/>
          </w:tcPr>
          <w:p>
            <w:r>
              <w:t>Measuring attribution in natural language generation models</w:t>
            </w:r>
          </w:p>
        </w:tc>
        <w:tc>
          <w:tcPr>
            <w:tcW w:type="dxa" w:w="1728"/>
          </w:tcPr>
          <w:p>
            <w:r>
              <w:t>Computational Linguistics, 49(4), 777-840, 2023</w:t>
              <w:br/>
              <w:t>doi.org/10.1162/coli_a_00486 (arXiv:2112.12870)</w:t>
            </w:r>
          </w:p>
        </w:tc>
        <w:tc>
          <w:tcPr>
            <w:tcW w:type="dxa" w:w="1728"/>
          </w:tcPr>
          <w:p>
            <w:r>
              <w:t>ref08_Rashkin_Attribution.pdf</w:t>
            </w:r>
          </w:p>
        </w:tc>
      </w:tr>
      <w:tr>
        <w:tc>
          <w:tcPr>
            <w:tcW w:type="dxa" w:w="1728"/>
          </w:tcPr>
          <w:p>
            <w:r>
              <w:t>[9]</w:t>
            </w:r>
          </w:p>
        </w:tc>
        <w:tc>
          <w:tcPr>
            <w:tcW w:type="dxa" w:w="1728"/>
          </w:tcPr>
          <w:p>
            <w:r>
              <w:t>Lewis, P. et al.</w:t>
            </w:r>
          </w:p>
        </w:tc>
        <w:tc>
          <w:tcPr>
            <w:tcW w:type="dxa" w:w="1728"/>
          </w:tcPr>
          <w:p>
            <w:r>
              <w:t>Retrieval-augmented generation for knowledge-intensive NLP tasks</w:t>
            </w:r>
          </w:p>
        </w:tc>
        <w:tc>
          <w:tcPr>
            <w:tcW w:type="dxa" w:w="1728"/>
          </w:tcPr>
          <w:p>
            <w:r>
              <w:t>NeurIPS 33, pp. 9459-9474, 2020</w:t>
              <w:br/>
              <w:t>arxiv.org/abs/2005.11401</w:t>
            </w:r>
          </w:p>
        </w:tc>
        <w:tc>
          <w:tcPr>
            <w:tcW w:type="dxa" w:w="1728"/>
          </w:tcPr>
          <w:p>
            <w:r>
              <w:t>ref09_Lewis_RAG.pdf</w:t>
            </w:r>
          </w:p>
        </w:tc>
      </w:tr>
      <w:tr>
        <w:tc>
          <w:tcPr>
            <w:tcW w:type="dxa" w:w="1728"/>
          </w:tcPr>
          <w:p>
            <w:r>
              <w:t>[10]</w:t>
            </w:r>
          </w:p>
        </w:tc>
        <w:tc>
          <w:tcPr>
            <w:tcW w:type="dxa" w:w="1728"/>
          </w:tcPr>
          <w:p>
            <w:r>
              <w:t>Willard, B. T. &amp; Louf, R.</w:t>
            </w:r>
          </w:p>
        </w:tc>
        <w:tc>
          <w:tcPr>
            <w:tcW w:type="dxa" w:w="1728"/>
          </w:tcPr>
          <w:p>
            <w:r>
              <w:t>Efficient guided generation for large language models</w:t>
            </w:r>
          </w:p>
        </w:tc>
        <w:tc>
          <w:tcPr>
            <w:tcW w:type="dxa" w:w="1728"/>
          </w:tcPr>
          <w:p>
            <w:r>
              <w:t>arXiv:2307.09702, 2023</w:t>
              <w:br/>
              <w:t>arxiv.org/abs/2307.09702</w:t>
            </w:r>
          </w:p>
        </w:tc>
        <w:tc>
          <w:tcPr>
            <w:tcW w:type="dxa" w:w="1728"/>
          </w:tcPr>
          <w:p>
            <w:r>
              <w:t>ref10_Willard_GuidedGeneration.pdf</w:t>
            </w:r>
          </w:p>
        </w:tc>
      </w:tr>
      <w:tr>
        <w:tc>
          <w:tcPr>
            <w:tcW w:type="dxa" w:w="1728"/>
          </w:tcPr>
          <w:p>
            <w:r>
              <w:t>[11]</w:t>
            </w:r>
          </w:p>
        </w:tc>
        <w:tc>
          <w:tcPr>
            <w:tcW w:type="dxa" w:w="1728"/>
          </w:tcPr>
          <w:p>
            <w:r>
              <w:t>Geng, S., Josifoski, M., Peyrard, M., &amp; West, R.</w:t>
            </w:r>
          </w:p>
        </w:tc>
        <w:tc>
          <w:tcPr>
            <w:tcW w:type="dxa" w:w="1728"/>
          </w:tcPr>
          <w:p>
            <w:r>
              <w:t>Grammar-constrained decoding for structured NLP tasks without finetuning</w:t>
            </w:r>
          </w:p>
        </w:tc>
        <w:tc>
          <w:tcPr>
            <w:tcW w:type="dxa" w:w="1728"/>
          </w:tcPr>
          <w:p>
            <w:r>
              <w:t>EMNLP 2023, pp. 10932-10952</w:t>
              <w:br/>
              <w:t>doi.org/10.18653/v1/2023.emnlp-main.674</w:t>
            </w:r>
          </w:p>
        </w:tc>
        <w:tc>
          <w:tcPr>
            <w:tcW w:type="dxa" w:w="1728"/>
          </w:tcPr>
          <w:p>
            <w:r>
              <w:t>ref11_Geng_GrammarConstrained.pdf</w:t>
            </w:r>
          </w:p>
        </w:tc>
      </w:tr>
      <w:tr>
        <w:tc>
          <w:tcPr>
            <w:tcW w:type="dxa" w:w="1728"/>
          </w:tcPr>
          <w:p>
            <w:r>
              <w:t>[12]</w:t>
            </w:r>
          </w:p>
        </w:tc>
        <w:tc>
          <w:tcPr>
            <w:tcW w:type="dxa" w:w="1728"/>
          </w:tcPr>
          <w:p>
            <w:r>
              <w:t>Liu, P., Yuan, W., Fu, J., Jiang, Z., Hayashi, H., &amp; Neubig, G.</w:t>
            </w:r>
          </w:p>
        </w:tc>
        <w:tc>
          <w:tcPr>
            <w:tcW w:type="dxa" w:w="1728"/>
          </w:tcPr>
          <w:p>
            <w:r>
              <w:t>Pre-train, prompt, and predict: A systematic survey of prompting methods in NLP</w:t>
            </w:r>
          </w:p>
        </w:tc>
        <w:tc>
          <w:tcPr>
            <w:tcW w:type="dxa" w:w="1728"/>
          </w:tcPr>
          <w:p>
            <w:r>
              <w:t>ACM Computing Surveys, 55(9), art. 195, 2023</w:t>
              <w:br/>
              <w:t>doi.org/10.1145/3560815 (arXiv:2107.13586)</w:t>
            </w:r>
          </w:p>
        </w:tc>
        <w:tc>
          <w:tcPr>
            <w:tcW w:type="dxa" w:w="1728"/>
          </w:tcPr>
          <w:p>
            <w:r>
              <w:t>ref12_Liu_PretrainPromptPredict.pdf</w:t>
            </w:r>
          </w:p>
        </w:tc>
      </w:tr>
      <w:tr>
        <w:tc>
          <w:tcPr>
            <w:tcW w:type="dxa" w:w="1728"/>
          </w:tcPr>
          <w:p>
            <w:r>
              <w:t>[13]</w:t>
            </w:r>
          </w:p>
        </w:tc>
        <w:tc>
          <w:tcPr>
            <w:tcW w:type="dxa" w:w="1728"/>
          </w:tcPr>
          <w:p>
            <w:r>
              <w:t>Yao, S. et al.</w:t>
            </w:r>
          </w:p>
        </w:tc>
        <w:tc>
          <w:tcPr>
            <w:tcW w:type="dxa" w:w="1728"/>
          </w:tcPr>
          <w:p>
            <w:r>
              <w:t>ReAct: Synergizing reasoning and acting in language models</w:t>
            </w:r>
          </w:p>
        </w:tc>
        <w:tc>
          <w:tcPr>
            <w:tcW w:type="dxa" w:w="1728"/>
          </w:tcPr>
          <w:p>
            <w:r>
              <w:t>ICLR 2023</w:t>
              <w:br/>
              <w:t>arxiv.org/abs/2210.03629</w:t>
            </w:r>
          </w:p>
        </w:tc>
        <w:tc>
          <w:tcPr>
            <w:tcW w:type="dxa" w:w="1728"/>
          </w:tcPr>
          <w:p>
            <w:r>
              <w:t>ref13_Yao_ReAct.pdf</w:t>
            </w:r>
          </w:p>
        </w:tc>
      </w:tr>
      <w:tr>
        <w:tc>
          <w:tcPr>
            <w:tcW w:type="dxa" w:w="1728"/>
          </w:tcPr>
          <w:p>
            <w:r>
              <w:t>[14]</w:t>
            </w:r>
          </w:p>
        </w:tc>
        <w:tc>
          <w:tcPr>
            <w:tcW w:type="dxa" w:w="1728"/>
          </w:tcPr>
          <w:p>
            <w:r>
              <w:t>Wu, Q. et al.</w:t>
            </w:r>
          </w:p>
        </w:tc>
        <w:tc>
          <w:tcPr>
            <w:tcW w:type="dxa" w:w="1728"/>
          </w:tcPr>
          <w:p>
            <w:r>
              <w:t>AutoGen: Enabling next-gen LLM applications via multi-agent conversation</w:t>
            </w:r>
          </w:p>
        </w:tc>
        <w:tc>
          <w:tcPr>
            <w:tcW w:type="dxa" w:w="1728"/>
          </w:tcPr>
          <w:p>
            <w:r>
              <w:t>arXiv:2308.08155, 2023</w:t>
              <w:br/>
              <w:t>arxiv.org/abs/2308.08155</w:t>
            </w:r>
          </w:p>
        </w:tc>
        <w:tc>
          <w:tcPr>
            <w:tcW w:type="dxa" w:w="1728"/>
          </w:tcPr>
          <w:p>
            <w:r>
              <w:t>ref14_Wu_AutoGen.pdf</w:t>
            </w:r>
          </w:p>
        </w:tc>
      </w:tr>
      <w:tr>
        <w:tc>
          <w:tcPr>
            <w:tcW w:type="dxa" w:w="1728"/>
          </w:tcPr>
          <w:p>
            <w:r>
              <w:t>[15]</w:t>
            </w:r>
          </w:p>
        </w:tc>
        <w:tc>
          <w:tcPr>
            <w:tcW w:type="dxa" w:w="1728"/>
          </w:tcPr>
          <w:p>
            <w:r>
              <w:t>Guo, T. et al.</w:t>
            </w:r>
          </w:p>
        </w:tc>
        <w:tc>
          <w:tcPr>
            <w:tcW w:type="dxa" w:w="1728"/>
          </w:tcPr>
          <w:p>
            <w:r>
              <w:t>Large language model based multi-agents: A survey of progress and challenges</w:t>
            </w:r>
          </w:p>
        </w:tc>
        <w:tc>
          <w:tcPr>
            <w:tcW w:type="dxa" w:w="1728"/>
          </w:tcPr>
          <w:p>
            <w:r>
              <w:t>IJCAI 2024, pp. 8048-8057</w:t>
              <w:br/>
              <w:t>ijcai.org/proceedings/2024/0890.pdf</w:t>
            </w:r>
          </w:p>
        </w:tc>
        <w:tc>
          <w:tcPr>
            <w:tcW w:type="dxa" w:w="1728"/>
          </w:tcPr>
          <w:p>
            <w:r>
              <w:t>ref15_Guo_MultiAgentSurvey.pdf</w:t>
            </w:r>
          </w:p>
        </w:tc>
      </w:tr>
      <w:tr>
        <w:tc>
          <w:tcPr>
            <w:tcW w:type="dxa" w:w="1728"/>
          </w:tcPr>
          <w:p>
            <w:r>
              <w:t>[17]</w:t>
            </w:r>
          </w:p>
        </w:tc>
        <w:tc>
          <w:tcPr>
            <w:tcW w:type="dxa" w:w="1728"/>
          </w:tcPr>
          <w:p>
            <w:r>
              <w:t>Madaan, A. et al.</w:t>
            </w:r>
          </w:p>
        </w:tc>
        <w:tc>
          <w:tcPr>
            <w:tcW w:type="dxa" w:w="1728"/>
          </w:tcPr>
          <w:p>
            <w:r>
              <w:t>Self-Refine: Iterative refinement with self-feedback</w:t>
            </w:r>
          </w:p>
        </w:tc>
        <w:tc>
          <w:tcPr>
            <w:tcW w:type="dxa" w:w="1728"/>
          </w:tcPr>
          <w:p>
            <w:r>
              <w:t>NeurIPS 36, 2023</w:t>
              <w:br/>
              <w:t>arxiv.org/abs/2303.17651</w:t>
            </w:r>
          </w:p>
        </w:tc>
        <w:tc>
          <w:tcPr>
            <w:tcW w:type="dxa" w:w="1728"/>
          </w:tcPr>
          <w:p>
            <w:r>
              <w:t>ref17_Madaan_SelfRefine.pdf</w:t>
            </w:r>
          </w:p>
        </w:tc>
      </w:tr>
      <w:tr>
        <w:tc>
          <w:tcPr>
            <w:tcW w:type="dxa" w:w="1728"/>
          </w:tcPr>
          <w:p>
            <w:r>
              <w:t>[18]</w:t>
            </w:r>
          </w:p>
        </w:tc>
        <w:tc>
          <w:tcPr>
            <w:tcW w:type="dxa" w:w="1728"/>
          </w:tcPr>
          <w:p>
            <w:r>
              <w:t>Blattmann, A. et al.</w:t>
            </w:r>
          </w:p>
        </w:tc>
        <w:tc>
          <w:tcPr>
            <w:tcW w:type="dxa" w:w="1728"/>
          </w:tcPr>
          <w:p>
            <w:r>
              <w:t>Stable Video Diffusion: Scaling latent video diffusion models to large datasets</w:t>
            </w:r>
          </w:p>
        </w:tc>
        <w:tc>
          <w:tcPr>
            <w:tcW w:type="dxa" w:w="1728"/>
          </w:tcPr>
          <w:p>
            <w:r>
              <w:t>arXiv:2311.15127, 2023</w:t>
              <w:br/>
              <w:t>arxiv.org/abs/2311.15127</w:t>
            </w:r>
          </w:p>
        </w:tc>
        <w:tc>
          <w:tcPr>
            <w:tcW w:type="dxa" w:w="1728"/>
          </w:tcPr>
          <w:p>
            <w:r>
              <w:t>ref18_Blattmann_StableVideoDiffusion.pdf</w:t>
            </w:r>
          </w:p>
        </w:tc>
      </w:tr>
      <w:tr>
        <w:tc>
          <w:tcPr>
            <w:tcW w:type="dxa" w:w="1728"/>
          </w:tcPr>
          <w:p>
            <w:r>
              <w:t>[19]</w:t>
            </w:r>
          </w:p>
        </w:tc>
        <w:tc>
          <w:tcPr>
            <w:tcW w:type="dxa" w:w="1728"/>
          </w:tcPr>
          <w:p>
            <w:r>
              <w:t>Niklaus, S., Mai, L., Yang, J., &amp; Liu, F.</w:t>
            </w:r>
          </w:p>
        </w:tc>
        <w:tc>
          <w:tcPr>
            <w:tcW w:type="dxa" w:w="1728"/>
          </w:tcPr>
          <w:p>
            <w:r>
              <w:t>3D Ken Burns effect from a single image</w:t>
            </w:r>
          </w:p>
        </w:tc>
        <w:tc>
          <w:tcPr>
            <w:tcW w:type="dxa" w:w="1728"/>
          </w:tcPr>
          <w:p>
            <w:r>
              <w:t>ACM Transactions on Graphics, 38(6), art. 184, 2019</w:t>
              <w:br/>
              <w:t>doi.org/10.1145/3355089.3356528 (arXiv:1909.05483)</w:t>
            </w:r>
          </w:p>
        </w:tc>
        <w:tc>
          <w:tcPr>
            <w:tcW w:type="dxa" w:w="1728"/>
          </w:tcPr>
          <w:p>
            <w:r>
              <w:t>ref19_Niklaus_3DKenBurns.pdf</w:t>
            </w:r>
          </w:p>
        </w:tc>
      </w:tr>
      <w:tr>
        <w:tc>
          <w:tcPr>
            <w:tcW w:type="dxa" w:w="1728"/>
          </w:tcPr>
          <w:p>
            <w:r>
              <w:t>[20]</w:t>
            </w:r>
          </w:p>
        </w:tc>
        <w:tc>
          <w:tcPr>
            <w:tcW w:type="dxa" w:w="1728"/>
          </w:tcPr>
          <w:p>
            <w:r>
              <w:t>Kim, J., Kong, J., &amp; Son, J.</w:t>
            </w:r>
          </w:p>
        </w:tc>
        <w:tc>
          <w:tcPr>
            <w:tcW w:type="dxa" w:w="1728"/>
          </w:tcPr>
          <w:p>
            <w:r>
              <w:t>Conditional variational autoencoder with adversarial learning for end-to-end text-to-speech (VITS)</w:t>
            </w:r>
          </w:p>
        </w:tc>
        <w:tc>
          <w:tcPr>
            <w:tcW w:type="dxa" w:w="1728"/>
          </w:tcPr>
          <w:p>
            <w:r>
              <w:t>ICML 2021, PMLR vol. 139, pp. 5530-5540</w:t>
              <w:br/>
              <w:t>proceedings.mlr.press/v139/kim21f.html</w:t>
            </w:r>
          </w:p>
        </w:tc>
        <w:tc>
          <w:tcPr>
            <w:tcW w:type="dxa" w:w="1728"/>
          </w:tcPr>
          <w:p>
            <w:r>
              <w:t>ref20_Kim_VITS.pdf</w:t>
            </w:r>
          </w:p>
        </w:tc>
      </w:tr>
      <w:tr>
        <w:tc>
          <w:tcPr>
            <w:tcW w:type="dxa" w:w="1728"/>
          </w:tcPr>
          <w:p>
            <w:r>
              <w:t>[22]</w:t>
            </w:r>
          </w:p>
        </w:tc>
        <w:tc>
          <w:tcPr>
            <w:tcW w:type="dxa" w:w="1728"/>
          </w:tcPr>
          <w:p>
            <w:r>
              <w:t>Wu, X., Xiao, L., Sun, Y., Zhang, J., Ma, T., &amp; He, L.</w:t>
            </w:r>
          </w:p>
        </w:tc>
        <w:tc>
          <w:tcPr>
            <w:tcW w:type="dxa" w:w="1728"/>
          </w:tcPr>
          <w:p>
            <w:r>
              <w:t>A survey of human-in-the-loop for machine learning</w:t>
            </w:r>
          </w:p>
        </w:tc>
        <w:tc>
          <w:tcPr>
            <w:tcW w:type="dxa" w:w="1728"/>
          </w:tcPr>
          <w:p>
            <w:r>
              <w:t>Future Generation Computer Systems, 135, 364-381, 2022</w:t>
              <w:br/>
              <w:t>doi.org/10.1016/j.future.2022.05.014 (arXiv:2108.00941)</w:t>
            </w:r>
          </w:p>
        </w:tc>
        <w:tc>
          <w:tcPr>
            <w:tcW w:type="dxa" w:w="1728"/>
          </w:tcPr>
          <w:p>
            <w:r>
              <w:t>ref22_Wu_HumanInLoopSurvey.pdf</w:t>
            </w:r>
          </w:p>
        </w:tc>
      </w:tr>
      <w:tr>
        <w:tc>
          <w:tcPr>
            <w:tcW w:type="dxa" w:w="1728"/>
          </w:tcPr>
          <w:p>
            <w:r>
              <w:t>[23]</w:t>
            </w:r>
          </w:p>
        </w:tc>
        <w:tc>
          <w:tcPr>
            <w:tcW w:type="dxa" w:w="1728"/>
          </w:tcPr>
          <w:p>
            <w:r>
              <w:t>Amershi, S. et al.</w:t>
            </w:r>
          </w:p>
        </w:tc>
        <w:tc>
          <w:tcPr>
            <w:tcW w:type="dxa" w:w="1728"/>
          </w:tcPr>
          <w:p>
            <w:r>
              <w:t>Guidelines for human-AI interaction</w:t>
            </w:r>
          </w:p>
        </w:tc>
        <w:tc>
          <w:tcPr>
            <w:tcW w:type="dxa" w:w="1728"/>
          </w:tcPr>
          <w:p>
            <w:r>
              <w:t>CHI 2019, pp. 1-13</w:t>
              <w:br/>
              <w:t>doi.org/10.1145/3290605.3300233</w:t>
            </w:r>
          </w:p>
        </w:tc>
        <w:tc>
          <w:tcPr>
            <w:tcW w:type="dxa" w:w="1728"/>
          </w:tcPr>
          <w:p>
            <w:r>
              <w:t>ref23_Amershi_GuidelinesHumanAI.pdf</w:t>
            </w:r>
          </w:p>
        </w:tc>
      </w:tr>
      <w:tr>
        <w:tc>
          <w:tcPr>
            <w:tcW w:type="dxa" w:w="1728"/>
          </w:tcPr>
          <w:p>
            <w:r>
              <w:t>[24]</w:t>
            </w:r>
          </w:p>
        </w:tc>
        <w:tc>
          <w:tcPr>
            <w:tcW w:type="dxa" w:w="1728"/>
          </w:tcPr>
          <w:p>
            <w:r>
              <w:t>Sculley, D. et al.</w:t>
            </w:r>
          </w:p>
        </w:tc>
        <w:tc>
          <w:tcPr>
            <w:tcW w:type="dxa" w:w="1728"/>
          </w:tcPr>
          <w:p>
            <w:r>
              <w:t>Hidden technical debt in machine learning systems</w:t>
            </w:r>
          </w:p>
        </w:tc>
        <w:tc>
          <w:tcPr>
            <w:tcW w:type="dxa" w:w="1728"/>
          </w:tcPr>
          <w:p>
            <w:r>
              <w:t>NIPS 28, pp. 2503-2511, 2015</w:t>
              <w:br/>
              <w:t>papers.nips.cc/paper/5656</w:t>
            </w:r>
          </w:p>
        </w:tc>
        <w:tc>
          <w:tcPr>
            <w:tcW w:type="dxa" w:w="1728"/>
          </w:tcPr>
          <w:p>
            <w:r>
              <w:t>ref24_Sculley_HiddenTechnicalDebt.pdf</w:t>
            </w:r>
          </w:p>
        </w:tc>
      </w:tr>
      <w:tr>
        <w:tc>
          <w:tcPr>
            <w:tcW w:type="dxa" w:w="1728"/>
          </w:tcPr>
          <w:p>
            <w:r>
              <w:t>[25]</w:t>
            </w:r>
          </w:p>
        </w:tc>
        <w:tc>
          <w:tcPr>
            <w:tcW w:type="dxa" w:w="1728"/>
          </w:tcPr>
          <w:p>
            <w:r>
              <w:t>Liu, Y., Iter, D., Xu, Y., Wang, S., Xu, R., &amp; Zhu, C.</w:t>
            </w:r>
          </w:p>
        </w:tc>
        <w:tc>
          <w:tcPr>
            <w:tcW w:type="dxa" w:w="1728"/>
          </w:tcPr>
          <w:p>
            <w:r>
              <w:t>G-Eval: NLG evaluation using GPT-4 with better human alignment</w:t>
            </w:r>
          </w:p>
        </w:tc>
        <w:tc>
          <w:tcPr>
            <w:tcW w:type="dxa" w:w="1728"/>
          </w:tcPr>
          <w:p>
            <w:r>
              <w:t>EMNLP 2023, pp. 2511-2522</w:t>
              <w:br/>
              <w:t>aclanthology.org/2023.emnlp-main.153/</w:t>
            </w:r>
          </w:p>
        </w:tc>
        <w:tc>
          <w:tcPr>
            <w:tcW w:type="dxa" w:w="1728"/>
          </w:tcPr>
          <w:p>
            <w:r>
              <w:t>ref25_Liu_GEval.pdf</w:t>
            </w:r>
          </w:p>
        </w:tc>
      </w:tr>
    </w:tbl>
    <w:p/>
    <w:p>
      <w:pPr>
        <w:pStyle w:val="Heading1"/>
      </w:pPr>
      <w:r>
        <w:t>2. Reference-only URLs (webpages / docs / code repos - not journal papers, no PDF to download)</w:t>
      </w:r>
    </w:p>
    <w:p>
      <w:r>
        <w:t>Import these into Mendeley as a 'Web Page' reference type using the URL directly; there is no paper file to attach.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Author/Org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URL</w:t>
            </w:r>
          </w:p>
        </w:tc>
      </w:tr>
      <w:tr>
        <w:tc>
          <w:tcPr>
            <w:tcW w:type="dxa" w:w="2160"/>
          </w:tcPr>
          <w:p>
            <w:r>
              <w:t>[5]</w:t>
            </w:r>
          </w:p>
        </w:tc>
        <w:tc>
          <w:tcPr>
            <w:tcW w:type="dxa" w:w="2160"/>
          </w:tcPr>
          <w:p>
            <w:r>
              <w:t>Shopify Inc.</w:t>
            </w:r>
          </w:p>
        </w:tc>
        <w:tc>
          <w:tcPr>
            <w:tcW w:type="dxa" w:w="2160"/>
          </w:tcPr>
          <w:p>
            <w:r>
              <w:t>Storefront API reference</w:t>
            </w:r>
          </w:p>
        </w:tc>
        <w:tc>
          <w:tcPr>
            <w:tcW w:type="dxa" w:w="2160"/>
          </w:tcPr>
          <w:p>
            <w:r>
              <w:t>https://shopify.dev/docs/api/storefront/latest</w:t>
            </w:r>
          </w:p>
        </w:tc>
      </w:tr>
      <w:tr>
        <w:tc>
          <w:tcPr>
            <w:tcW w:type="dxa" w:w="2160"/>
          </w:tcPr>
          <w:p>
            <w:r>
              <w:t>[16]</w:t>
            </w:r>
          </w:p>
        </w:tc>
        <w:tc>
          <w:tcPr>
            <w:tcW w:type="dxa" w:w="2160"/>
          </w:tcPr>
          <w:p>
            <w:r>
              <w:t>LangChain Inc.</w:t>
            </w:r>
          </w:p>
        </w:tc>
        <w:tc>
          <w:tcPr>
            <w:tcW w:type="dxa" w:w="2160"/>
          </w:tcPr>
          <w:p>
            <w:r>
              <w:t>LangGraph documentation</w:t>
            </w:r>
          </w:p>
        </w:tc>
        <w:tc>
          <w:tcPr>
            <w:tcW w:type="dxa" w:w="2160"/>
          </w:tcPr>
          <w:p>
            <w:r>
              <w:t>https://docs.langchain.com/oss/python/langgraph/overview</w:t>
            </w:r>
          </w:p>
        </w:tc>
      </w:tr>
      <w:tr>
        <w:tc>
          <w:tcPr>
            <w:tcW w:type="dxa" w:w="2160"/>
          </w:tcPr>
          <w:p>
            <w:r>
              <w:t>[21]</w:t>
            </w:r>
          </w:p>
        </w:tc>
        <w:tc>
          <w:tcPr>
            <w:tcW w:type="dxa" w:w="2160"/>
          </w:tcPr>
          <w:p>
            <w:r>
              <w:t>Open Home Foundation</w:t>
            </w:r>
          </w:p>
        </w:tc>
        <w:tc>
          <w:tcPr>
            <w:tcW w:type="dxa" w:w="2160"/>
          </w:tcPr>
          <w:p>
            <w:r>
              <w:t>Piper: A fast, local neural text-to-speech engine (GitHub)</w:t>
            </w:r>
          </w:p>
        </w:tc>
        <w:tc>
          <w:tcPr>
            <w:tcW w:type="dxa" w:w="2160"/>
          </w:tcPr>
          <w:p>
            <w:r>
              <w:t>https://github.com/OHF-Voice/piper1-gpl</w:t>
            </w:r>
          </w:p>
        </w:tc>
      </w:tr>
      <w:tr>
        <w:tc>
          <w:tcPr>
            <w:tcW w:type="dxa" w:w="2160"/>
          </w:tcPr>
          <w:p>
            <w:r>
              <w:t>[26]</w:t>
            </w:r>
          </w:p>
        </w:tc>
        <w:tc>
          <w:tcPr>
            <w:tcW w:type="dxa" w:w="2160"/>
          </w:tcPr>
          <w:p>
            <w:r>
              <w:t>Advertising Standards Council of India</w:t>
            </w:r>
          </w:p>
        </w:tc>
        <w:tc>
          <w:tcPr>
            <w:tcW w:type="dxa" w:w="2160"/>
          </w:tcPr>
          <w:p>
            <w:r>
              <w:t>The ASCI Code</w:t>
            </w:r>
          </w:p>
        </w:tc>
        <w:tc>
          <w:tcPr>
            <w:tcW w:type="dxa" w:w="2160"/>
          </w:tcPr>
          <w:p>
            <w:r>
              <w:t>https://www.ascionline.in/the-asci-code/</w:t>
            </w:r>
          </w:p>
        </w:tc>
      </w:tr>
      <w:tr>
        <w:tc>
          <w:tcPr>
            <w:tcW w:type="dxa" w:w="2160"/>
          </w:tcPr>
          <w:p>
            <w:r>
              <w:t>[27]</w:t>
            </w:r>
          </w:p>
        </w:tc>
        <w:tc>
          <w:tcPr>
            <w:tcW w:type="dxa" w:w="2160"/>
          </w:tcPr>
          <w:p>
            <w:r>
              <w:t>Microsoft Corporation</w:t>
            </w:r>
          </w:p>
        </w:tc>
        <w:tc>
          <w:tcPr>
            <w:tcW w:type="dxa" w:w="2160"/>
          </w:tcPr>
          <w:p>
            <w:r>
              <w:t>Team Data Science Process: Lifecycle (GitHub)</w:t>
            </w:r>
          </w:p>
        </w:tc>
        <w:tc>
          <w:tcPr>
            <w:tcW w:type="dxa" w:w="2160"/>
          </w:tcPr>
          <w:p>
            <w:r>
              <w:t>https://github.com/Azure/Microsoft-TDSP/blob/master/Docs/lifecycle-detail.md</w:t>
            </w:r>
          </w:p>
        </w:tc>
      </w:tr>
      <w:tr>
        <w:tc>
          <w:tcPr>
            <w:tcW w:type="dxa" w:w="2160"/>
          </w:tcPr>
          <w:p>
            <w:r>
              <w:t>[28]</w:t>
            </w:r>
          </w:p>
        </w:tc>
        <w:tc>
          <w:tcPr>
            <w:tcW w:type="dxa" w:w="2160"/>
          </w:tcPr>
          <w:p>
            <w:r>
              <w:t>SQLite Consortium</w:t>
            </w:r>
          </w:p>
        </w:tc>
        <w:tc>
          <w:tcPr>
            <w:tcW w:type="dxa" w:w="2160"/>
          </w:tcPr>
          <w:p>
            <w:r>
              <w:t>Write-Ahead Logging</w:t>
            </w:r>
          </w:p>
        </w:tc>
        <w:tc>
          <w:tcPr>
            <w:tcW w:type="dxa" w:w="2160"/>
          </w:tcPr>
          <w:p>
            <w:r>
              <w:t>https://www.sqlite.org/wal.html</w:t>
            </w:r>
          </w:p>
        </w:tc>
      </w:tr>
    </w:tbl>
    <w:p/>
    <w:p>
      <w:pPr>
        <w:pStyle w:val="Heading1"/>
      </w:pPr>
      <w:r>
        <w:t>3. Not downloadable / needs manual attention</w:t>
      </w:r>
    </w:p>
    <w:p>
      <w:r>
        <w:rPr>
          <w:b/>
        </w:rPr>
        <w:t>None.</w:t>
      </w:r>
    </w:p>
    <w:p>
      <w:r>
        <w:t>All 22 journal/conference papers ([1]-[4], [6]-[15], [17]-[20], [22]-[25]) were successfully downloaded as verified, correct PDFs (first page checked against title/author). [1] and [2] are Springer open-access articles - confirmed the PDFs are genuine open-access copies of the correct papers, not paywalled excerpts or previews.</w:t>
      </w:r>
    </w:p>
    <w:p/>
    <w:p>
      <w:pPr>
        <w:pStyle w:val="Heading1"/>
      </w:pPr>
      <w:r>
        <w:t>4. Important note: Reference [28] is unused</w:t>
      </w:r>
    </w:p>
    <w:p>
      <w:r>
        <w:t>[28] SQLite Consortium, "Write-Ahead Logging" appears in the References list (numbered 28) but is NOT cited anywhere in the body text of the report - every paragraph was searched for "[28]" and no match was found. You may want to either cite it somewhere (if WAL is discussed in the SQLite/database sections) or remove it from the reference list, otherwise the Mendeley-generated bibliography and the in-text citations won't match, which examiners sometimes flag.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