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Architecture and Development Specification</w:t>
      </w:r>
    </w:p>
    <w:p>
      <w:r>
        <w:t>AI-Powered Marketing Content Generation System</w:t>
        <w:br/>
        <w:t>Version 3.1</w:t>
        <w:br/>
        <w:t>Architecture Locked</w:t>
      </w:r>
    </w:p>
    <w:p>
      <w:pPr>
        <w:pStyle w:val="Heading2"/>
      </w:pPr>
      <w:r>
        <w:t>1. Executive Summary</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2: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3: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4: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5: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6: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pPr>
        <w:pStyle w:val="Heading2"/>
      </w:pPr>
      <w:r>
        <w:t>2. Business Objectives</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2: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3: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4: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5: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6: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pPr>
        <w:pStyle w:val="Heading2"/>
      </w:pPr>
      <w:r>
        <w:t>3. Functional Requirements</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2: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3: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4: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5: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6: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7: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8: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pPr>
        <w:pStyle w:val="Heading2"/>
      </w:pPr>
      <w:r>
        <w:t>4. Non-Functional Requirements</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2: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3: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4: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5: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pPr>
        <w:pStyle w:val="Heading2"/>
      </w:pPr>
      <w:r>
        <w:t>5. Overall System Architecture</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2: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3: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4: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5: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6: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7: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8: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pPr>
        <w:pStyle w:val="Heading2"/>
      </w:pPr>
      <w:r>
        <w:t>6. Streamlit Application Design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2: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3: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4: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5: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6: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7: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8: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9: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10: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pPr>
        <w:pStyle w:val="Heading2"/>
      </w:pPr>
      <w:r>
        <w:t>7. Database Design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2: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3: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4: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5: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6: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7: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8: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9: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10: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pPr>
        <w:pStyle w:val="Heading2"/>
      </w:pPr>
      <w:r>
        <w:t>8. Background Worker</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2: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3: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4: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5: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6: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7: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pPr>
        <w:pStyle w:val="Heading2"/>
      </w:pPr>
      <w:r>
        <w:t>9. LangGraph Workflow</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2: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3: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4: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5: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6: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7: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8: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9: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10: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pPr>
        <w:pStyle w:val="Heading2"/>
      </w:pPr>
      <w:r>
        <w:t>10. AI Agent Specifications</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2: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3: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4: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5: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6: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7: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8: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9: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10: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11: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12: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pPr>
        <w:pStyle w:val="Heading2"/>
      </w:pPr>
      <w:r>
        <w:t>11. Product Lifecycle</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2: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3: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4: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5: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6: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7: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8: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pPr>
        <w:pStyle w:val="Heading2"/>
      </w:pPr>
      <w:r>
        <w:t>12. Review &amp; Feedback Workflow</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2: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3: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4: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5: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6: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7: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8: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pPr>
        <w:pStyle w:val="Heading2"/>
      </w:pPr>
      <w:r>
        <w:t>13. Versioning Strategy</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2: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3: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4: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5: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6: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pPr>
        <w:pStyle w:val="Heading2"/>
      </w:pPr>
      <w:r>
        <w:t>14. Output Directory Design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2: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3: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4: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5: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6: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pPr>
        <w:pStyle w:val="Heading2"/>
      </w:pPr>
      <w:r>
        <w:t>15. Folder Structure</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2: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3: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4: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5: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6: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pPr>
        <w:pStyle w:val="Heading2"/>
      </w:pPr>
      <w:r>
        <w:t>16. Logging &amp; Monitoring</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2: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3: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4: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5: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6: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pPr>
        <w:pStyle w:val="Heading2"/>
      </w:pPr>
      <w:r>
        <w:t>17. Error Handling</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2: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3: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4: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5: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6: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pPr>
        <w:pStyle w:val="Heading2"/>
      </w:pPr>
      <w:r>
        <w:t>18. Security &amp; Configuration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2: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3: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4: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5: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6: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pPr>
        <w:pStyle w:val="Heading2"/>
      </w:pPr>
      <w:r>
        <w:t>19. Coding Standards</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2: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3: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4: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5: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6: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pPr>
        <w:pStyle w:val="Heading2"/>
      </w:pPr>
      <w:r>
        <w:t>20. Development Roadmap</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2: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3: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4: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5: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6: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7: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8: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pPr>
        <w:pStyle w:val="Heading2"/>
      </w:pPr>
      <w:r>
        <w:t>21. Testing Strategy</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2: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3: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4: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5: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6: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7: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pPr>
        <w:pStyle w:val="Heading2"/>
      </w:pPr>
      <w:r>
        <w:t>22. Claude Implementation Contract</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2: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3: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4: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5: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6: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7: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8: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9: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p>
      <w:r>
        <w:t>This section defines the authoritative architecture for the system. The Streamlit application acts as the control center while a background worker executes long-running jobs. Only one product is processed at a time. Products move through Pending, Running, Review, Approved, Rejected, Failed or Cancelled states. Every rejection creates a new immutable version stored beneath the product output directory. LangGraph is responsible only for AI reasoning. Streamlit never performs AI inference. SQLite is the source of truth for products, jobs, versions, outputs and logs. Each module must remain independent, testable and reusable. All configuration must be stored in environment variables. Every public function should include documentation, logging and type hints. Future enhancements should extend the architecture rather than replacing it.</w:t>
        <w:br/>
        <w:br/>
        <w:t>Implementation Notes 10: The workflow begins when a user adds a product using only the product name and URL. Selecting Run creates a database job that is consumed asynchronously by the background worker. The worker performs scraping, creates a campaign brief, generates script, caption, hashtags, voiceover, video plan and rendered video, stores every artifact, updates database state and exposes the latest version to the review dashboard. If rejected, reviewer feedback becomes additional context for the next pipeline execution. No generated version is overwritten.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