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ook w:firstColumn="1" w:firstRow="1" w:lastColumn="0" w:lastRow="0" w:noHBand="0" w:noVBand="1" w:val="04A0"/>
      </w:tblPr>
      <w:tblGrid>
        <w:gridCol w:w="4535"/>
        <w:gridCol w:w="4535"/>
      </w:tblGrid>
      <w:tr>
        <w:tc>
          <w:tcPr>
            <w:tcW w:type="dxa" w:w="4702"/>
          </w:tcPr>
          <w:p>
            <w:pPr>
              <w:jc w:val="left"/>
            </w:pPr>
            <w:r>
              <w:rPr>
                <w:rFonts w:ascii="Times New Roman" w:hAnsi="Times New Roman"/>
                <w:b/>
                <w:sz w:val="26"/>
              </w:rPr>
              <w:t>TÊN CƠ QUAN, TỔ CHỨC CHỦ QUẢN (1)</w:t>
              <w:br/>
              <w:t>TÊN CƠ QUAN, TỔ CHỨC (2)</w:t>
              <w:br/>
              <w:t>-------</w:t>
            </w:r>
          </w:p>
        </w:tc>
        <w:tc>
          <w:tcPr>
            <w:tcW w:type="dxa" w:w="4702"/>
          </w:tcPr>
          <w:p>
            <w:pPr>
              <w:jc w:val="center"/>
            </w:pPr>
            <w:r>
              <w:rPr>
                <w:rFonts w:ascii="Times New Roman" w:hAnsi="Times New Roman"/>
                <w:b/>
                <w:sz w:val="26"/>
              </w:rPr>
              <w:t>CỘNG HÒA XÃ HỘI CHỦ NGHĨA VIỆT NAM</w:t>
              <w:br/>
              <w:t>Độc lập - Tự do - Hạnh phúc</w:t>
              <w:br/>
              <w:t>-------</w:t>
            </w:r>
          </w:p>
        </w:tc>
      </w:tr>
      <w:tr>
        <w:tc>
          <w:tcPr>
            <w:tcW w:type="dxa" w:w="4702"/>
          </w:tcPr>
          <w:p>
            <w:pPr>
              <w:jc w:val="left"/>
            </w:pPr>
            <w:r/>
          </w:p>
        </w:tc>
        <w:tc>
          <w:tcPr>
            <w:tcW w:type="dxa" w:w="4702"/>
          </w:tcPr>
          <w:p>
            <w:pPr>
              <w:jc w:val="center"/>
            </w:pPr>
            <w:r>
              <w:rPr>
                <w:rFonts w:ascii="Times New Roman" w:hAnsi="Times New Roman"/>
                <w:sz w:val="26"/>
              </w:rPr>
              <w:t>Số: ....../BB-....(3)....</w:t>
            </w:r>
          </w:p>
        </w:tc>
      </w:tr>
    </w:tbl>
    <w:p/>
    <w:p>
      <w:pPr>
        <w:jc w:val="center"/>
      </w:pPr>
      <w:r>
        <w:rPr>
          <w:rFonts w:ascii="Times New Roman" w:hAnsi="Times New Roman"/>
          <w:b/>
          <w:sz w:val="32"/>
        </w:rPr>
        <w:t>BIÊN BẢN CUỘC HỌP</w:t>
      </w:r>
    </w:p>
    <w:p/>
    <w:p/>
    <w:p>
      <w:pPr>
        <w:pStyle w:val="ListParagraph"/>
      </w:pPr>
      <w:r>
        <w:rPr>
          <w:b/>
        </w:rPr>
        <w:t>Thành phần cuộc họp:</w:t>
      </w:r>
    </w:p>
    <w:p>
      <w:pPr>
        <w:pStyle w:val="ListBullet"/>
      </w:pPr>
      <w:r>
        <w:t>- Chủ trì: Nguyễn Khắc Định; Tô Lâm</w:t>
      </w:r>
    </w:p>
    <w:p>
      <w:pPr>
        <w:pStyle w:val="ListBullet"/>
      </w:pPr>
      <w:r>
        <w:t>- Các thành viên tham dự: Nông Đức Mạnh, Phạm Minh Chính, Nguyễn Thị Thanh, Nguyễn Sinh Hùng, Trần Quốc Vượng, Nguyễn Khắc Định, Nguyễn Đức Hải, Nguyễn Tấn Dũng, Tô Lâm, Nguyễn Văn An, Lê Quang Tùng, Lương Cường, Nguyễn Thị Kim Ngân, Phan Diễn, Trần Cầm Tú, Trần Quang Phương, Phạm Thế Duyệt, Trần Thanh Bẫn, Trần Thanh Mẫn, Đỗ Văn Chiến</w:t>
      </w:r>
    </w:p>
    <w:p/>
    <w:p>
      <w:r>
        <w:rPr>
          <w:b/>
        </w:rPr>
        <w:t xml:space="preserve">Nội dung, mục tiêu cuộc họp: </w:t>
      </w:r>
      <w:r>
        <w:t>Bế mạc kỳ họp thứ 8 của Quốc hội khóa 15, chúng ta đã tiến hành đánh giá kết quả của hoạt động chất vấn và trả lời chất vấn trong khuôn khổ kỳ họp này.</w:t>
      </w:r>
    </w:p>
    <w:p/>
    <w:p>
      <w:r>
        <w:rPr>
          <w:b/>
        </w:rPr>
        <w:t>Chương trình nghị sự:</w:t>
      </w:r>
    </w:p>
    <w:p>
      <w:pPr>
        <w:pStyle w:val="ListBullet"/>
      </w:pPr>
      <w:r>
        <w:t>**Giải pháp cho lĩnh vực y tế và ngân hàng**</w:t>
      </w:r>
    </w:p>
    <w:p>
      <w:pPr>
        <w:pStyle w:val="ListBullet"/>
      </w:pPr>
      <w:r>
        <w:t>Trong bối cảnh hiện nay, việc nâng cao năng lực quản lý thông tin trên không gian mạng là một yêu cầu cấp thiết. Cần xem xét và quyết định các vấn đề quan trọng của đất nước, bao gồm việc sửa đổi, bổ sung quy định về thông tin truyền thông. Đồng thời, cần biểu quyết thông qua nghị quyết về hoạt động chất vấn, nhằm đảm bảo tính minh bạch và trách nhiệm trong quản lý.</w:t>
      </w:r>
    </w:p>
    <w:p>
      <w:pPr>
        <w:pStyle w:val="ListBullet"/>
      </w:pPr>
      <w:r>
        <w:t>Để phát triển mạng lưới cơ sở báo chí, phát thanh và truyền hình, việc bồi dưỡng chuyên môn cho đội ngũ phóng viên là rất quan trọng. Hệ thống viễn thông cũng cần được phát triển và giám sát chặt chẽ để đáp ứng nhu cầu thông tin ngày càng cao. Cần có giải pháp hiệu quả để giải quyết tình trạng báo hóa và tạp chí, đồng thời xử lý các vi phạm trong hoạt động quảng cáo.</w:t>
      </w:r>
    </w:p>
    <w:p>
      <w:pPr>
        <w:pStyle w:val="ListBullet"/>
      </w:pPr>
      <w:r>
        <w:t>Trong lĩnh vực ngân hàng, chuyển đổi số trong các cơ quan báo chí là một bước đi cần thiết để nâng cao hiệu quả hoạt động. Cần hoàn thành các lĩnh vực xây dựng pháp luật và đổi mới cơ chế tài chính cho các cơ quan báo chí. Đánh giá kết quả chất vấn cũng là một phần quan trọng trong quá trình này.</w:t>
      </w:r>
    </w:p>
    <w:p>
      <w:pPr>
        <w:pStyle w:val="ListBullet"/>
      </w:pPr>
      <w:r>
        <w:t>Cuối cùng, cần nhận thức rõ tác hại của rượu, bia, thuốc lá và các chất gây nghiện đối với sức khỏe cộng đồng. Những vấn đề này sẽ được thảo luận và đưa ra giải pháp trong các kỳ họp tiếp theo.</w:t>
      </w:r>
    </w:p>
    <w:p>
      <w:pPr>
        <w:pStyle w:val="ListBullet"/>
      </w:pPr>
      <w:r>
        <w:t>Xin chân thành cảm ơn sự chú ý của quý vị.</w:t>
      </w:r>
    </w:p>
    <w:p/>
    <w:p>
      <w:r>
        <w:rPr>
          <w:b/>
        </w:rPr>
        <w:t>Nội dung thảo luận:</w:t>
      </w:r>
    </w:p>
    <w:p>
      <w:pPr>
        <w:pStyle w:val="ListBullet"/>
      </w:pPr>
      <w:r>
        <w:t>Nghị quyết về hoạt động chất vấn</w:t>
      </w:r>
    </w:p>
    <w:p>
      <w:pPr>
        <w:pStyle w:val="ListBullet2"/>
      </w:pPr>
      <w:r>
        <w:t>Chúng tôi xin trân trọng thông báo rằng đã tiếp thu đầy đủ ý kiến của các vị đại biểu Quốc hội. Báo cáo giải trình đã được gửi trước đến từng đại biểu để đảm bảo sự minh bạch và hiệu quả trong quá trình thảo luận.</w:t>
      </w:r>
    </w:p>
    <w:p>
      <w:pPr>
        <w:pStyle w:val="ListBullet"/>
      </w:pPr>
      <w:r>
        <w:t>Phát biểu bế mạc</w:t>
      </w:r>
    </w:p>
    <w:p>
      <w:pPr>
        <w:pStyle w:val="ListBullet2"/>
      </w:pPr>
      <w:r>
        <w:t>Chúng tôi ghi nhận và đánh giá cao nỗ lực của Chính phủ cùng các bộ trong việc thực hiện chức năng của Quốc hội. Phiên chất vấn đã diễn ra thành công và đạt được nhiều kết quả tích cực.</w:t>
      </w:r>
    </w:p>
    <w:p>
      <w:pPr>
        <w:pStyle w:val="ListBullet"/>
      </w:pPr>
      <w:r>
        <w:t>Đánh giá kết quả chất vấn</w:t>
      </w:r>
    </w:p>
    <w:p>
      <w:pPr>
        <w:pStyle w:val="ListBullet2"/>
      </w:pPr>
      <w:r>
        <w:t>Thành công của sự kiện đã thu hút sự quan tâm đáng kể từ cử tri. Chúng tôi xin ghi nhận những nỗ lực không ngừng của Chính phủ và các bộ trong việc tổ chức và triển khai hoạt động này.</w:t>
      </w:r>
    </w:p>
    <w:p>
      <w:pPr>
        <w:pStyle w:val="ListBullet"/>
      </w:pPr>
      <w:r>
        <w:t>Giải pháp cho lĩnh vực ngân hàng</w:t>
      </w:r>
    </w:p>
    <w:p>
      <w:pPr>
        <w:pStyle w:val="ListBullet2"/>
      </w:pPr>
      <w:r>
        <w:t>Ban hành nghị định quy định về cơ chế thử nghiệm trong lĩnh vực ngân hàng, đồng thời sửa đổi Nghị định số 55 ngày 9 tháng 6 năm 2015. Mục tiêu là giảm mặt bằng lãi suất cho vay và thực hiện điều hành chính sách tiền tệ một cách chủ động, linh hoạt.</w:t>
      </w:r>
    </w:p>
    <w:p>
      <w:pPr>
        <w:pStyle w:val="ListBullet"/>
      </w:pPr>
      <w:r>
        <w:t>Giải pháp cho lĩnh vực y tế</w:t>
      </w:r>
    </w:p>
    <w:p>
      <w:pPr>
        <w:pStyle w:val="ListBullet2"/>
      </w:pPr>
      <w:r>
        <w:t>Triển khai thực hiện Luật Khám chữa bệnh, đồng thời tiến hành giám sát chuyên đề về việc huy động, quản lý và sử dụng nguồn lực trong công tác phòng chống dịch COVID-19.</w:t>
      </w:r>
    </w:p>
    <w:p>
      <w:pPr>
        <w:pStyle w:val="ListBullet"/>
      </w:pPr>
      <w:r>
        <w:t>Kiểm tra và xử lý vi phạm</w:t>
      </w:r>
    </w:p>
    <w:p>
      <w:pPr>
        <w:pStyle w:val="ListBullet2"/>
      </w:pPr>
      <w:r>
        <w:t>Kính gửi Quý vị,</w:t>
      </w:r>
    </w:p>
    <w:p>
      <w:pPr>
        <w:pStyle w:val="ListBullet2"/>
      </w:pPr>
      <w:r>
        <w:t>Chúng tôi xin thông báo về việc tăng cường công tác kiểm tra và thanh tra đối với các tổ chức và cá nhân có hoạt động thành lập dàn giao dịch ngoại hối FOREST không tuân thủ quy định pháp luật.</w:t>
      </w:r>
    </w:p>
    <w:p>
      <w:pPr>
        <w:pStyle w:val="ListBullet2"/>
      </w:pPr>
      <w:r>
        <w:t>Trân trọng.</w:t>
      </w:r>
    </w:p>
    <w:p>
      <w:pPr>
        <w:pStyle w:val="ListBullet"/>
      </w:pPr>
      <w:r>
        <w:t>Y tế</w:t>
      </w:r>
    </w:p>
    <w:p>
      <w:pPr>
        <w:pStyle w:val="ListBullet2"/>
      </w:pPr>
      <w:r>
        <w:t>Thực hiện chính sách pháp luật liên quan đến y tế cơ sở và y tế dự phòng, chúng tôi tiến hành giám sát chuyên đề về việc huy động, quản lý và sử dụng nguồn lực phục vụ công tác phòng chống dịch COVID-19. Đồng thời, chúng tôi triển khai thực hiện Luật Khám chữa bệnh và xây dựng kế hoạch dự trữ thuốc, hóa chất, cũng như thiết bị y tế cần thiết.</w:t>
      </w:r>
    </w:p>
    <w:p>
      <w:pPr>
        <w:pStyle w:val="ListBullet"/>
      </w:pPr>
      <w:r>
        <w:t>Hợp tác quốc tế</w:t>
      </w:r>
    </w:p>
    <w:p>
      <w:pPr>
        <w:pStyle w:val="ListBullet2"/>
      </w:pPr>
      <w:r>
        <w:t>**Tăng cường hợp tác quốc tế trong ứng phó với thiên tai, thảm họa và dịch bệnh**</w:t>
      </w:r>
    </w:p>
    <w:p>
      <w:pPr>
        <w:pStyle w:val="ListBullet2"/>
      </w:pPr>
      <w:r>
        <w:t>Trong bối cảnh biến đổi khí hậu và sự gia tăng tần suất của các thảm họa tự nhiên, việc tăng cường hợp tác quốc tế trong lĩnh vực ứng phó với thiên tai, thảm họa và dịch bệnh trở nên cấp thiết hơn bao giờ hết. Sự phối hợp chặt chẽ giữa các quốc gia, tổ chức quốc tế và cộng đồng là yếu tố then chốt nhằm nâng cao khả năng ứng phó, giảm thiểu thiệt hại và bảo vệ sức khỏe cộng đồng. Chúng ta cần xây dựng các cơ chế hợp tác hiệu quả, chia sẻ thông tin và kinh nghiệm, đồng thời phát triển các chương trình đào tạo và nâng cao năng lực cho các lực lượng ứng phó. Việc này không chỉ giúp ứng phó kịp thời với các tình huống khẩn cấp mà còn góp phần xây dựng một mạng lưới an toàn toàn cầu, sẵn sàng đối phó với những thách thức trong tương lai.</w:t>
      </w:r>
    </w:p>
    <w:p>
      <w:pPr>
        <w:pStyle w:val="ListBullet"/>
      </w:pPr>
      <w:r>
        <w:t>Quy trình cấp phép</w:t>
      </w:r>
    </w:p>
    <w:p>
      <w:pPr>
        <w:pStyle w:val="ListBullet2"/>
      </w:pPr>
      <w:r>
        <w:t>**Đề xuất về Phân cấp Thẩm quyền Cấp phép trong Lĩnh vực Khám bệnh, Chữa bệnh**</w:t>
      </w:r>
    </w:p>
    <w:p>
      <w:pPr>
        <w:pStyle w:val="ListBullet2"/>
      </w:pPr>
      <w:r>
        <w:t>Chúng tôi xin trình bày đề xuất nhằm hoàn thiện quy trình thẩm định và cấp giấy phép hành nghề trong lĩnh vực khám bệnh, chữa bệnh. Việc phân cấp thẩm quyền cấp phép sẽ góp phần nâng cao hiệu quả quản lý và đảm bảo chất lượng dịch vụ y tế.</w:t>
      </w:r>
    </w:p>
    <w:p>
      <w:pPr>
        <w:pStyle w:val="ListBullet"/>
      </w:pPr>
      <w:r>
        <w:t>Chuyển đổi số</w:t>
      </w:r>
    </w:p>
    <w:p>
      <w:pPr>
        <w:pStyle w:val="ListBullet2"/>
      </w:pPr>
      <w:r>
        <w:t>Thúc đẩy quá trình chuyển đổi số trong việc cấp giấy phép hành nghề, đồng thời kết nối với hệ thống dịch vụ công quốc gia.</w:t>
      </w:r>
    </w:p>
    <w:p>
      <w:pPr>
        <w:pStyle w:val="ListBullet"/>
      </w:pPr>
      <w:r>
        <w:t>Quản lý dược phẩm</w:t>
      </w:r>
    </w:p>
    <w:p>
      <w:pPr>
        <w:pStyle w:val="ListBullet2"/>
      </w:pPr>
      <w:r>
        <w:t>Triển khai thực hiện luật sửa đổi, bổ sung một số điều của Luật Dược, bao gồm các hoạt động quản lý, thanh tra và kiểm tra trong lĩnh vực sản xuất và kinh doanh dược phẩm.</w:t>
      </w:r>
    </w:p>
    <w:p>
      <w:pPr>
        <w:pStyle w:val="ListBullet"/>
      </w:pPr>
      <w:r>
        <w:t>Cấm thuốc lá điện tử</w:t>
      </w:r>
    </w:p>
    <w:p>
      <w:pPr>
        <w:pStyle w:val="ListBullet2"/>
      </w:pPr>
      <w:r>
        <w:t>Cấm sản xuất và kinh doanh thuốc lá điện tử bắt đầu từ năm 2025.</w:t>
      </w:r>
    </w:p>
    <w:p>
      <w:pPr>
        <w:pStyle w:val="ListBullet"/>
      </w:pPr>
      <w:r>
        <w:t>Thông tin và truyền thông</w:t>
      </w:r>
    </w:p>
    <w:p>
      <w:pPr>
        <w:pStyle w:val="ListBullet2"/>
      </w:pPr>
      <w:r>
        <w:t>Sửa đổi và bổ sung các quy định liên quan đến thông tin truyền thông, đồng thời ban hành quy hoạch phát triển mạng lưới cơ sở báo chí.</w:t>
      </w:r>
    </w:p>
    <w:p>
      <w:pPr>
        <w:pStyle w:val="ListBullet"/>
      </w:pPr>
      <w:r>
        <w:t>Tác hại của rượu, bia, thuốc lá và các chất gây nghiện</w:t>
      </w:r>
    </w:p>
    <w:p>
      <w:pPr>
        <w:pStyle w:val="ListBullet2"/>
      </w:pPr>
      <w:r>
        <w:t>**Thảo luận về Tác Hại Đối với Sức Khỏe Con Người**</w:t>
      </w:r>
    </w:p>
    <w:p>
      <w:pPr>
        <w:pStyle w:val="ListBullet2"/>
      </w:pPr>
      <w:r>
        <w:t>Trong bối cảnh hiện nay, vấn đề sức khỏe con người đang trở thành một chủ đề được quan tâm hàng đầu. Nhiều yếu tố, bao gồm môi trường sống, chế độ dinh dưỡng và thói quen sinh hoạt, đều có thể ảnh hưởng tiêu cực đến sức khỏe. Các nghiên cứu đã chỉ ra rằng ô nhiễm không khí, thực phẩm không an toàn và lối sống ít vận động là những nguyên nhân chính dẫn đến các bệnh lý nghiêm trọng như tim mạch, tiểu đường và ung thư.</w:t>
      </w:r>
    </w:p>
    <w:p>
      <w:pPr>
        <w:pStyle w:val="ListBullet2"/>
      </w:pPr>
      <w:r>
        <w:t>Việc nâng cao nhận thức về những tác hại này là vô cùng cần thiết để bảo vệ sức khỏe cộng đồng. Chúng ta cần có những biện pháp cụ thể nhằm giảm thiểu rủi ro và cải thiện chất lượng cuộc sống. Hợp tác giữa các cơ quan chức năng, tổ chức y tế và cộng đồng là yếu tố then chốt trong việc xây dựng một môi trường sống lành mạnh và bền vững.</w:t>
      </w:r>
    </w:p>
    <w:p>
      <w:pPr>
        <w:pStyle w:val="ListBullet"/>
      </w:pPr>
      <w:r>
        <w:t>Sửa đổi, bổ sung quy định về thông tin truyền thông</w:t>
      </w:r>
    </w:p>
    <w:p>
      <w:pPr>
        <w:pStyle w:val="ListBullet2"/>
      </w:pPr>
      <w:r>
        <w:t>Đảm bảo tính thống nhất, đồng bộ và hiệu quả trong hoạt động.</w:t>
      </w:r>
    </w:p>
    <w:p>
      <w:pPr>
        <w:pStyle w:val="ListBullet"/>
      </w:pPr>
      <w:r>
        <w:t>Phát triển mạng lưới cơ sở báo chí, phát thanh, truyền hình</w:t>
      </w:r>
    </w:p>
    <w:p>
      <w:pPr>
        <w:pStyle w:val="ListBullet2"/>
      </w:pPr>
      <w:r>
        <w:t>Ban hành quy hoạch phát triển đến năm 2030.</w:t>
      </w:r>
    </w:p>
    <w:p>
      <w:pPr>
        <w:pStyle w:val="ListBullet"/>
      </w:pPr>
      <w:r>
        <w:t>Đổi mới cơ chế tài chính cho các cơ quan báo chí</w:t>
      </w:r>
    </w:p>
    <w:p>
      <w:pPr>
        <w:pStyle w:val="ListBullet2"/>
      </w:pPr>
      <w:r>
        <w:t>**Giao nhiệm vụ đặt hàng và hỗ trợ chuyển đổi số**</w:t>
      </w:r>
    </w:p>
    <w:p>
      <w:pPr>
        <w:pStyle w:val="ListBullet2"/>
      </w:pPr>
      <w:r>
        <w:t>Kính gửi Quý đồng nghiệp,</w:t>
      </w:r>
    </w:p>
    <w:p>
      <w:pPr>
        <w:pStyle w:val="ListBullet2"/>
      </w:pPr>
      <w:r>
        <w:t>Chúng tôi xin thông báo về việc giao nhiệm vụ liên quan đến công tác đặt hàng và hỗ trợ quá trình chuyển đổi số trong tổ chức. Nhiệm vụ này nhằm nâng cao hiệu quả hoạt động và tối ưu hóa quy trình làm việc, đồng thời đáp ứng nhu cầu phát triển trong bối cảnh công nghệ ngày càng tiến bộ.</w:t>
      </w:r>
    </w:p>
    <w:p>
      <w:pPr>
        <w:pStyle w:val="ListBullet2"/>
      </w:pPr>
      <w:r>
        <w:t>Mong nhận được sự hợp tác và nỗ lực từ tất cả các thành viên để thực hiện nhiệm vụ này một cách hiệu quả nhất.</w:t>
      </w:r>
    </w:p>
    <w:p>
      <w:pPr>
        <w:pStyle w:val="ListBullet2"/>
      </w:pPr>
      <w:r>
        <w:t>Trân trọng,</w:t>
      </w:r>
    </w:p>
    <w:p>
      <w:pPr>
        <w:pStyle w:val="ListBullet2"/>
      </w:pPr>
      <w:r>
        <w:t>[Chữ ký]</w:t>
      </w:r>
    </w:p>
    <w:p>
      <w:pPr>
        <w:pStyle w:val="ListBullet2"/>
      </w:pPr>
      <w:r>
        <w:t>[Họ tên]</w:t>
      </w:r>
    </w:p>
    <w:p>
      <w:pPr>
        <w:pStyle w:val="ListBullet2"/>
      </w:pPr>
      <w:r>
        <w:t>[Chức vụ]</w:t>
      </w:r>
    </w:p>
    <w:p>
      <w:pPr>
        <w:pStyle w:val="ListBullet2"/>
      </w:pPr>
      <w:r>
        <w:t>[Đơn vị]</w:t>
      </w:r>
    </w:p>
    <w:p>
      <w:pPr>
        <w:pStyle w:val="ListBullet2"/>
      </w:pPr>
      <w:r>
        <w:t>[Ngày tháng năm]</w:t>
      </w:r>
    </w:p>
    <w:p>
      <w:pPr>
        <w:pStyle w:val="ListBullet"/>
      </w:pPr>
      <w:r>
        <w:t>Chuyển đổi số trong các cơ quan báo chí</w:t>
      </w:r>
    </w:p>
    <w:p>
      <w:pPr>
        <w:pStyle w:val="ListBullet2"/>
      </w:pPr>
      <w:r>
        <w:t>**Chiến lược Chuyển đổi Số đến Năm 2025**</w:t>
      </w:r>
    </w:p>
    <w:p>
      <w:pPr>
        <w:pStyle w:val="ListBullet2"/>
      </w:pPr>
      <w:r>
        <w:t>Chúng tôi cam kết thực hiện chiến lược chuyển đổi số với mục tiêu hoàn thành vào năm 2025. Chiến lược này sẽ tập trung vào việc nâng cao hiệu quả hoạt động, cải thiện trải nghiệm khách hàng và tối ưu hóa quy trình làm việc thông qua việc ứng dụng công nghệ số.</w:t>
      </w:r>
    </w:p>
    <w:p>
      <w:pPr>
        <w:pStyle w:val="ListBullet"/>
      </w:pPr>
      <w:r>
        <w:t>Giải quyết tình trạng báo hóa, tạp chí</w:t>
      </w:r>
    </w:p>
    <w:p>
      <w:pPr>
        <w:pStyle w:val="ListBullet2"/>
      </w:pPr>
      <w:r>
        <w:t>Thực hiện Nghị quyết số 75.</w:t>
      </w:r>
    </w:p>
    <w:p>
      <w:pPr>
        <w:pStyle w:val="ListBullet"/>
      </w:pPr>
      <w:r>
        <w:t>Bồi dưỡng chuyên môn cho đội ngũ phóng viên</w:t>
      </w:r>
    </w:p>
    <w:p>
      <w:pPr>
        <w:pStyle w:val="ListBullet2"/>
      </w:pPr>
      <w:r>
        <w:t>**Tăng cường trách nhiệm đạo đức và nâng cao bản lĩnh chính trị**</w:t>
      </w:r>
    </w:p>
    <w:p>
      <w:pPr>
        <w:pStyle w:val="ListBullet2"/>
      </w:pPr>
      <w:r>
        <w:t>Trong bối cảnh hiện nay, việc chú trọng đến nhiệm vụ đạo đức và bản lĩnh chính trị là vô cùng cần thiết. Điều này không chỉ giúp củng cố niềm tin của nhân dân đối với các tổ chức và cá nhân trong bộ máy nhà nước, mà còn góp phần xây dựng một xã hội công bằng, văn minh. Chúng ta cần phát huy tinh thần trách nhiệm, kiên định với các giá trị đạo đức, đồng thời nâng cao năng lực lãnh đạo và khả năng ứng phó với những thách thức trong quá trình phát triển.</w:t>
      </w:r>
    </w:p>
    <w:p>
      <w:pPr>
        <w:pStyle w:val="ListBullet"/>
      </w:pPr>
      <w:r>
        <w:t>Nâng cao năng lực quản lý thông tin trên không gian mạng</w:t>
      </w:r>
    </w:p>
    <w:p>
      <w:pPr>
        <w:pStyle w:val="ListBullet2"/>
      </w:pPr>
      <w:r>
        <w:t>**Đầu tư vào phương tiện và hệ thống công cụ kỹ thuật**</w:t>
      </w:r>
    </w:p>
    <w:p>
      <w:pPr>
        <w:pStyle w:val="ListBullet2"/>
      </w:pPr>
      <w:r>
        <w:t>Việc đầu tư vào các phương tiện và hệ thống công cụ kỹ thuật là một yếu tố quan trọng nhằm nâng cao hiệu quả hoạt động và tối ưu hóa quy trình làm việc. Sự phát triển của công nghệ hiện đại đòi hỏi các tổ chức cần cập nhật và cải tiến trang thiết bị cũng như công cụ kỹ thuật để đáp ứng nhu cầu ngày càng cao của thị trường. Điều này không chỉ giúp nâng cao năng suất lao động mà còn tạo ra giá trị gia tăng cho sản phẩm và dịch vụ, từ đó củng cố vị thế cạnh tranh của doanh nghiệp.</w:t>
      </w:r>
    </w:p>
    <w:p>
      <w:pPr>
        <w:pStyle w:val="ListBullet"/>
      </w:pPr>
      <w:r>
        <w:t>Xử lý vi phạm trong hoạt động quảng cáo</w:t>
      </w:r>
    </w:p>
    <w:p>
      <w:pPr>
        <w:pStyle w:val="ListBullet2"/>
      </w:pPr>
      <w:r>
        <w:t>**Tăng cường công tác thanh tra và thực hiện xử lý nghiêm các vi phạm.**</w:t>
      </w:r>
    </w:p>
    <w:p>
      <w:pPr>
        <w:pStyle w:val="ListBullet"/>
      </w:pPr>
      <w:r>
        <w:t>Phát triển hệ thống viễn thông</w:t>
      </w:r>
    </w:p>
    <w:p>
      <w:pPr>
        <w:pStyle w:val="ListBullet2"/>
      </w:pPr>
      <w:r>
        <w:t>Chúng tôi cam kết hoàn thành việc phủ sóng viễn thông di động vào tháng 6 năm 2025.</w:t>
      </w:r>
    </w:p>
    <w:p>
      <w:pPr>
        <w:pStyle w:val="ListBullet"/>
      </w:pPr>
      <w:r>
        <w:t>Nghị quyết</w:t>
      </w:r>
    </w:p>
    <w:p>
      <w:pPr>
        <w:pStyle w:val="ListBullet2"/>
      </w:pPr>
      <w:r>
        <w:t>Ủy ban Thường vụ Quốc hội, Hội đồng Dân tộc, các ủy ban Quốc hội, Đoàn đại biểu Quốc hội, Đại biểu Quốc hội, Mặt trận Tổ quốc Việt Nam và các tổ chức chính trị - xã hội, trong phạm vi nhiệm vụ và quyền hạn của mình, sẽ phối hợp với Bộ trưởng Bộ Y tế, Bộ trưởng Bộ Thông tin và Truyền thông, cùng Thống đốc Ngân hàng Nhà nước Việt Nam để xây dựng kế hoạch triển khai thực hiện nghị quyết. Đồng thời, các cơ quan này sẽ báo cáo Quốc hội về tiến độ thực hiện nghị quyết tại các kỳ họp tiếp theo.</w:t>
      </w:r>
    </w:p>
    <w:p>
      <w:pPr>
        <w:pStyle w:val="ListBullet"/>
      </w:pPr>
      <w:r>
        <w:t>Biểu quyết</w:t>
      </w:r>
    </w:p>
    <w:p>
      <w:pPr>
        <w:pStyle w:val="ListBullet2"/>
      </w:pPr>
      <w:r>
        <w:t>Kính gửi Phòng Máy,</w:t>
      </w:r>
    </w:p>
    <w:p>
      <w:pPr>
        <w:pStyle w:val="ListBullet2"/>
      </w:pPr>
      <w:r>
        <w:t>Chúng tôi xin đề nghị chuẩn bị cho việc thông qua toàn bộ dự thảo nghị quyết liên quan đến hoạt động chất vấn tại kỳ họp thứ 8 của Quốc hội khóa 15 bằng hình thức biểu quyết điện tử. Kính mong các vị đại biểu Quốc hội tham gia biểu quyết.</w:t>
      </w:r>
    </w:p>
    <w:p>
      <w:pPr>
        <w:pStyle w:val="ListBullet2"/>
      </w:pPr>
      <w:r>
        <w:t>Trân trọng.</w:t>
      </w:r>
    </w:p>
    <w:p/>
    <w:p>
      <w:r>
        <w:rPr>
          <w:b/>
        </w:rPr>
        <w:t>Các quyết định:</w:t>
      </w:r>
    </w:p>
    <w:p>
      <w:pPr>
        <w:pStyle w:val="ListBullet"/>
      </w:pPr>
      <w:r>
        <w:t>Thông qua nghị quyết về hoạt động chất vấn, đề nghị Chính phủ và các bộ thực hiện đầy đủ các nội dung đã được nêu ra.</w:t>
      </w:r>
    </w:p>
    <w:p/>
    <w:p>
      <w:r>
        <w:rPr>
          <w:b/>
        </w:rPr>
        <w:t xml:space="preserve">Kết luận: </w:t>
      </w:r>
      <w:r>
        <w:t>Cần khắc phục những tồn tại trong công tác quản lý nhà nước liên quan đến ngân hàng, y tế và thông tin truyền thông. Kỳ họp thứ 8 đã hoàn thành và chính thức bế mạc với lễ chào cờ trang trọng.</w:t>
      </w:r>
    </w:p>
    <w:p/>
    <w:p>
      <w:r>
        <w:t>Tài liệu đính kèm: Không có</w:t>
      </w:r>
    </w:p>
    <w:p/>
    <w:p>
      <w:r>
        <w:t>Ghi chú: Không có</w:t>
      </w:r>
    </w:p>
    <w:p/>
    <w:tbl>
      <w:tblPr>
        <w:tblW w:type="auto" w:w="0"/>
        <w:jc w:val="center"/>
        <w:tblLook w:firstColumn="1" w:firstRow="1" w:lastColumn="0" w:lastRow="0" w:noHBand="0" w:noVBand="1" w:val="04A0"/>
      </w:tblPr>
      <w:tblGrid>
        <w:gridCol w:w="4535"/>
        <w:gridCol w:w="4535"/>
      </w:tblGrid>
      <w:tr>
        <w:tc>
          <w:tcPr>
            <w:tcW w:type="dxa" w:w="4702"/>
          </w:tcPr>
          <w:p>
            <w:pPr>
              <w:jc w:val="center"/>
            </w:pPr>
            <w:r>
              <w:rPr>
                <w:rFonts w:ascii="Times New Roman" w:hAnsi="Times New Roman"/>
                <w:sz w:val="26"/>
              </w:rPr>
              <w:t>CHỦ TRÌ</w:t>
              <w:br/>
              <w:br/>
              <w:br/>
              <w:br/>
              <w:br/>
              <w:t>(Ký, ghi rõ họ tên)</w:t>
            </w:r>
          </w:p>
        </w:tc>
        <w:tc>
          <w:tcPr>
            <w:tcW w:type="dxa" w:w="4702"/>
          </w:tcPr>
          <w:p>
            <w:pPr>
              <w:jc w:val="center"/>
            </w:pPr>
            <w:r>
              <w:rPr>
                <w:rFonts w:ascii="Times New Roman" w:hAnsi="Times New Roman"/>
                <w:sz w:val="26"/>
              </w:rPr>
              <w:t>THƯ KÝ</w:t>
              <w:br/>
              <w:br/>
              <w:br/>
              <w:br/>
              <w:br/>
              <w:t>(Ký, ghi rõ họ tên)</w:t>
            </w:r>
          </w:p>
        </w:tc>
      </w:tr>
    </w:tbl>
    <w:sectPr w:rsidR="00FC693F" w:rsidRPr="0006063C" w:rsidSect="0003461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