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bookmarkStart w:id="24" w:name="X7a42e76857858fca5799d54ebde196bf6c8da8c"/>
    <w:p>
      <w:pPr>
        <w:pStyle w:val="Heading1"/>
      </w:pPr>
      <w:r>
        <w:t xml:space="preserve">Shyware Architecture Guarantees and Data Matrix</w:t>
      </w:r>
    </w:p>
    <w:p>
      <w:pPr>
        <w:pStyle w:val="FirstParagraph"/>
      </w:pPr>
      <w:r>
        <w:t xml:space="preserve">This document summarizes the shared processor architecture that supports Shyware DPIA work. It is a technical reference, not a standalone DPIA.</w:t>
      </w:r>
    </w:p>
    <w:bookmarkStart w:id="18" w:name="shared-architecture"/>
    <w:p>
      <w:pPr>
        <w:numPr>
          <w:ilvl w:val="0"/>
          <w:numId w:val="1002"/>
        </w:numPr>
        <w:pStyle w:val="Heading2"/>
      </w:pPr>
      <w:r>
        <w:t xml:space="preserve">Shared Architecture</w:t>
      </w:r>
    </w:p>
    <w:p>
      <w:pPr>
        <w:pStyle w:val="FirstParagraph"/>
      </w:pPr>
      <w:r>
        <w:t xml:space="preserve">Shyware uses a two-list state machine pattern. List 1 contains anonymous submission or payload records. List 2 contains participant, identity, eligibility, or registry records. The Mainhub patent posture is that accepted canonical state contains no identity–payload join, no shared observable, and no validator-accepted execution path that computes a participant-specific association from canonical state alone. Aggregates can be verified through count-match invariants, Merkle roots, signatures, and audit records, while user-specific recovery or reveal workflows require a separate authority path.</w:t>
      </w:r>
    </w:p>
    <w:bookmarkEnd w:id="18"/>
    <w:bookmarkStart w:id="19" w:name="mainhub-patent-alignment"/>
    <w:p>
      <w:pPr>
        <w:numPr>
          <w:ilvl w:val="0"/>
          <w:numId w:val="1002"/>
        </w:numPr>
        <w:pStyle w:val="Heading2"/>
      </w:pPr>
      <w:r>
        <w:t xml:space="preserve">Mainhub Patent Alignment</w:t>
      </w:r>
    </w:p>
    <w:p>
      <w:pPr>
        <w:pStyle w:val="FirstParagraph"/>
      </w:pPr>
      <w:r>
        <w:t xml:space="preserve">The Mainhub patent materials support a narrow technical claim at the write layer: structural non-representability in canonical state. The broader system posture also depends on the reconcile layer: protected linkage, non-enumerable single-subject retrieval, and provider/authority partitioning. Together these are a privacy-by-design architecture, not a whole-system anonymity warranty.</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872"/>
        <w:gridCol w:w="3650"/>
        <w:gridCol w:w="3838"/>
      </w:tblGrid>
      <w:tr>
        <w:trPr>
          <w:tblHeader w:val="on"/>
        </w:trPr>
        <w:tc>
          <w:tcPr>
            <w:tcW w:type="pct" w:w="1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Patent concept</w:t>
            </w:r>
          </w:p>
        </w:tc>
        <w:tc>
          <w:tcPr>
            <w:tcW w:type="pct" w:w="1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DPIA treatment</w:t>
            </w:r>
          </w:p>
        </w:tc>
        <w:tc>
          <w:tcPr>
            <w:tcW w:type="pct" w:w="20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Practical boundary</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Two-list write kernel</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Use as a canonical-state minimization control.</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Does not remove risk from endpoints, APIs, logs, or off-chain stores.</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Rejection predicate</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Treat as a technical control preventing accepted writes that would create identity–payload joins.</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counsel-reviewable evidence links to implementation, signed releases, and regression-test coverage; existing state-machine tests should be cited in the evidence appendix.</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Intermediate-state non-materialization</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Treat as a claim that validator-visible execution should not materialize the join.</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Does not cover developer debug logs, telemetry, client state, or non-validator infrastructure unless separately controlled.</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store</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Treat as a high-risk operational component, not as part of the canonical-state guarantee.</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tenant scoping, access controls, audit logs, retention limits, and customer-specific legal basis.</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partitioning</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Treat separation between linkage store, IDV/auth provider, reconciling authority, and canonical commit authority as a residual-risk reducer.</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Stipulate which party can see which shard; no single ordinary provider should hold enough data and authority to reconstruct identity–payload linkage unless explicitly approved for the deployment.</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interface</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Treat as authority-gated, single-subject retrieval/recovery.</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Must not become a bulk extraction, enumeration, or operator analytics surface.</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Write-only / hostile-context posture</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Treat as a separate deployment mode.</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The twin-kernel reference DPIA cannot be reused for elections, coercion-sensitive, or hostile-state deployments without a domain DPIA.</w:t>
            </w:r>
          </w:p>
        </w:tc>
      </w:tr>
    </w:tbl>
    <w:bookmarkEnd w:id="19"/>
    <w:bookmarkStart w:id="20" w:name="guarantees-and-non-guarantees"/>
    <w:p>
      <w:pPr>
        <w:numPr>
          <w:ilvl w:val="0"/>
          <w:numId w:val="1002"/>
        </w:numPr>
        <w:pStyle w:val="Heading2"/>
      </w:pPr>
      <w:r>
        <w:t xml:space="preserve">Guarantees and Non-Guarantees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246"/>
        <w:gridCol w:w="4025"/>
        <w:gridCol w:w="3089"/>
      </w:tblGrid>
      <w:tr>
        <w:trPr>
          <w:tblHeader w:val="on"/>
        </w:trPr>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Area</w:t>
            </w:r>
          </w:p>
        </w:tc>
        <w:tc>
          <w:tcPr>
            <w:tcW w:type="pct" w:w="2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Shyware Position</w:t>
            </w:r>
          </w:p>
        </w:tc>
        <w:tc>
          <w:tcPr>
            <w:tcW w:type="pct" w:w="1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Review Note</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state</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No identity-to-payload join should be representable or computable from accepted canonical state under valid state transitions.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Confirm implementation against the Mainhub rejection-predicate claims for each embodiment.</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Payload secrecy</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Payloads may be sealed before canonical write, depending on product and manifest.</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Verify key custody and plaintext exposure per deployment.</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Aggregate audit</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HSM or managed signing can support public verification of aggregate results.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Validate signing boundary and key-management evidence.</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Recovery</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Recoverable posture uses off-chain linkage or reconciliation authority outside the canonical-state guarantee.</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This is a high-risk privacy component and needs use-case-specific DPIA treatment.</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mode can be Didit, Identus, wallet, ZK, or development-only none.</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Biometric/IDV provider role and transfer posture must be separately assessed.</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Network anonymity</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Shyware is not Tor and does not claim global traffic-analysis resistance.</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Public claims should remain narrow.</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Legal certification</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Shyware should not claim universal GDPR certification.</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Use</w:t>
            </w:r>
            <w:r>
              <w:t xml:space="preserve"> </w:t>
            </w:r>
            <w:r>
              <w:t xml:space="preserve">“designed to support”</w:t>
            </w:r>
            <w:r>
              <w:t xml:space="preserve"> </w:t>
            </w:r>
            <w:r>
              <w:t xml:space="preserve">language, not blanket compliance claims.</w:t>
            </w:r>
          </w:p>
        </w:tc>
      </w:tr>
    </w:tbl>
    <w:bookmarkEnd w:id="20"/>
    <w:bookmarkStart w:id="21" w:name="data-class-matrix"/>
    <w:p>
      <w:pPr>
        <w:numPr>
          <w:ilvl w:val="0"/>
          <w:numId w:val="1002"/>
        </w:numPr>
        <w:pStyle w:val="Heading2"/>
      </w:pPr>
      <w:r>
        <w:t xml:space="preserve">Data Class Matrix</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966"/>
        <w:gridCol w:w="2902"/>
        <w:gridCol w:w="1872"/>
        <w:gridCol w:w="2621"/>
      </w:tblGrid>
      <w:tr>
        <w:trPr>
          <w:tblHeader w:val="on"/>
        </w:trPr>
        <w:tc>
          <w:tcPr>
            <w:tcW w:type="pct" w:w="10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Data Class</w:t>
            </w:r>
          </w:p>
        </w:tc>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Examples</w:t>
            </w:r>
          </w:p>
        </w:tc>
        <w:tc>
          <w:tcPr>
            <w:tcW w:type="pct" w:w="1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Typical Component</w:t>
            </w:r>
          </w:p>
        </w:tc>
        <w:tc>
          <w:tcPr>
            <w:tcW w:type="pct" w:w="1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DPIA Sensitivity</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Opaque submission identifier</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ballot_id, secret_id, transfer id, event id</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List 1</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Medium; low alone, higher when combined with linkage store.</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Sealed payload</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encrypted vote direction, browser data, EHR data, secret, market order, chat content</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List 1 / local store</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High where payload may contain sensitive content.</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or eligibility hash</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identity_hash, wallet commitment, subject DID hash, account commitment</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List 2</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Medium to high; pseudonymous but linkable within scope.</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Biometric/IDV attestation</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Didit proof hash, Persona/KYB result, identity session status</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IDV provider / API</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High; may involve biometric or identity-document processing by provider.</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record</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identity_hash to ballot_id or submission id</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Reconcile store</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High; enables recovery or lawful reveal path.</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Provider-partition marker</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deployment map showing IDV/auth provider, linkage store, reconciling authority, and commit authority</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Architecture / DPA annex</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High relevance; documents whether single-provider reconstruction is possible.</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Wallet or account proof</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wallet address, EVM ownership proof, account commitment</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Wallet verifier / governance</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Medium; financial/profile linkage risk.</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Audit artifact</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Merkle roots, signatures, counts, closure records</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Signing and attest services</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Low to medium; aggregate but public-verifiable.</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Telemetry</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operational logs, traces, error metadata</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Telemetry service</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Medium; must exclude identity hashes, proof hashes, and nonces.</w:t>
            </w:r>
          </w:p>
        </w:tc>
      </w:tr>
    </w:tbl>
    <w:bookmarkEnd w:id="21"/>
    <w:bookmarkStart w:id="22" w:name="processor-boundary"/>
    <w:p>
      <w:pPr>
        <w:numPr>
          <w:ilvl w:val="0"/>
          <w:numId w:val="1002"/>
        </w:numPr>
        <w:pStyle w:val="Heading2"/>
      </w:pPr>
      <w:r>
        <w:t xml:space="preserve">Processor Boundary</w:t>
      </w:r>
    </w:p>
    <w:p>
      <w:pPr>
        <w:pStyle w:val="FirstParagraph"/>
      </w:pPr>
      <w:r>
        <w:t xml:space="preserve">The processor boundary should be described as SDK software plus optional hosted services. Customer controllers decide whether to deploy Shyware, configure event schemas, choose legal bases, set retention, and handle user-facing notices and rights requests. Shyware processes customer user data only under documented customer instructions and only through the DPA and product configuration.</w:t>
      </w:r>
    </w:p>
    <w:bookmarkEnd w:id="22"/>
    <w:bookmarkStart w:id="23" w:name="evidence-to-collect"/>
    <w:p>
      <w:pPr>
        <w:numPr>
          <w:ilvl w:val="0"/>
          <w:numId w:val="1002"/>
        </w:numPr>
        <w:pStyle w:val="Heading2"/>
      </w:pPr>
      <w:r>
        <w:t xml:space="preserve">Evidence to Collect</w:t>
      </w:r>
    </w:p>
    <w:p>
      <w:pPr>
        <w:numPr>
          <w:ilvl w:val="0"/>
          <w:numId w:val="1001"/>
        </w:numPr>
      </w:pPr>
      <w:r>
        <w:t xml:space="preserve">Current architecture diagrams for List 1, List 2, reconciling authority, IDV provider, and signing boundary.</w:t>
      </w:r>
    </w:p>
    <w:p>
      <w:pPr>
        <w:numPr>
          <w:ilvl w:val="0"/>
          <w:numId w:val="1001"/>
        </w:numPr>
      </w:pPr>
      <w:r>
        <w:t xml:space="preserve">Production shyconfig examples for each launch product.</w:t>
      </w:r>
    </w:p>
    <w:p>
      <w:pPr>
        <w:numPr>
          <w:ilvl w:val="0"/>
          <w:numId w:val="1001"/>
        </w:numPr>
      </w:pPr>
      <w:r>
        <w:t xml:space="preserve">Subprocessor list with hosting, IDV, telemetry, support, and security vendors.</w:t>
      </w:r>
    </w:p>
    <w:p>
      <w:pPr>
        <w:numPr>
          <w:ilvl w:val="0"/>
          <w:numId w:val="1001"/>
        </w:numPr>
      </w:pPr>
      <w:r>
        <w:t xml:space="preserve">Security/TOMs detail: encryption, access control, key management, logging exclusions, incident response, and vulnerability management.</w:t>
      </w:r>
    </w:p>
    <w:p>
      <w:pPr>
        <w:numPr>
          <w:ilvl w:val="0"/>
          <w:numId w:val="1001"/>
        </w:numPr>
      </w:pPr>
      <w:r>
        <w:t xml:space="preserve">Data retention defaults for canonical state, off-chain stores, local client storage, backups, logs, and IDV artifacts.</w:t>
      </w:r>
    </w:p>
    <w:p>
      <w:pPr>
        <w:numPr>
          <w:ilvl w:val="0"/>
          <w:numId w:val="1001"/>
        </w:numPr>
      </w:pPr>
      <w:r>
        <w:t xml:space="preserve">Evidence that telemetry excludes identity hashes, proof hashes, ballot nonces, and sealed payload plaintext.</w:t>
      </w:r>
    </w:p>
    <w:bookmarkEnd w:id="23"/>
    <w:bookmarkEnd w:id="24"/>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Architecture and Data Matrix</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2026-05-24T18:51:46Z</dcterms:created>
  <dcterms:modified xsi:type="dcterms:W3CDTF">2026-05-24T18:51:46Z</dcterms:modified>
</cp:coreProperties>
</file>

<file path=docProps/custom.xml><?xml version="1.0" encoding="utf-8"?>
<Properties xmlns="http://schemas.openxmlformats.org/officeDocument/2006/custom-properties" xmlns:vt="http://schemas.openxmlformats.org/officeDocument/2006/docPropsVTypes"/>
</file>