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bookmarkStart w:id="24" w:name="core-shyware-processor-package"/>
    <w:p>
      <w:pPr>
        <w:pStyle w:val="Heading1"/>
      </w:pPr>
      <w:r>
        <w:t xml:space="preserve">Core Shyware Processor Package</w:t>
      </w:r>
    </w:p>
    <w:p>
      <w:pPr>
        <w:pStyle w:val="FirstParagraph"/>
      </w:pPr>
      <w:r>
        <w:t xml:space="preserve">This package is a counsel-review working set for Shyware as an SDK and related hosted processor service. It is not a certification claim and should not be presented as a completed controller DPIA for every deployment. Its purpose is to give privacy counsel, customers, and procurement reviewers a stable reference room for the processor posture, technical guarantees, and use-case-specific DPIA work that remains.</w:t>
      </w:r>
    </w:p>
    <w:bookmarkStart w:id="18" w:name="review-posture"/>
    <w:p>
      <w:pPr>
        <w:numPr>
          <w:ilvl w:val="0"/>
          <w:numId w:val="1003"/>
        </w:numPr>
        <w:pStyle w:val="Heading2"/>
      </w:pPr>
      <w:r>
        <w:t xml:space="preserve">Review Posture</w:t>
      </w:r>
    </w:p>
    <w:p>
      <w:pPr>
        <w:pStyle w:val="FirstParagraph"/>
      </w:pPr>
      <w:r>
        <w:t xml:space="preserve">Shyware should be presented as a processor technology package with reference DPIA materials. Customers remain controllers for their own users and processing purposes. Shyware provides SDK software, hosted service components, reconciliation services, audit support, and processor assistance under the Data Processing Agreement.</w:t>
      </w:r>
    </w:p>
    <w:p>
      <w:pPr>
        <w:pStyle w:val="BodyText"/>
      </w:pPr>
      <w:r>
        <w:t xml:space="preserve">The package-level reference DPIA is now the Shyware twin-kernel hub DPIA. Counsel should review it first because it matches the Mainhub patent architecture and supplies the vocabulary for every billable domain DPIA: write-side canonical-state exclusion plus reconcile-side constrained utility through protected linkage, non-enumerable retrieval, and provider/authority partitioning. Browser analytics is a product-domain DPIA like the other domains. It is more elaborated than most first-pass domains because it was drafted first, but it should no longer define the package-level posture. Each product-domain DPIA remains a billable review target when that use case is in scope.</w:t>
      </w:r>
    </w:p>
    <w:bookmarkEnd w:id="18"/>
    <w:bookmarkStart w:id="19" w:name="core-mainhub-patent-alignment"/>
    <w:p>
      <w:pPr>
        <w:numPr>
          <w:ilvl w:val="0"/>
          <w:numId w:val="1003"/>
        </w:numPr>
        <w:pStyle w:val="Heading2"/>
      </w:pPr>
      <w:r>
        <w:t xml:space="preserve">Mainhub Patent Alignment</w:t>
      </w:r>
    </w:p>
    <w:p>
      <w:pPr>
        <w:pStyle w:val="FirstParagraph"/>
      </w:pPr>
      <w:r>
        <w:t xml:space="preserve">The package should describe Shyware’s patent-backed posture narrowly, but not incompletely. The Mainhub patent materials support a two-layer architecture: valid write-side state transitions should not commit, materialize, or expose an identity–payload join in canonical ledger state, and the reconcile-side path should preserve selected recovery, reveal, restore, withdraw, redeem, or presence-check utilities through a constrained, non-enumerable, provider-partitioned interface. That combined posture is important for DPIA analysis, but it is not a blanket anonymity or compliance certification.</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153"/>
        <w:gridCol w:w="3182"/>
        <w:gridCol w:w="4025"/>
      </w:tblGrid>
      <w:tr>
        <w:trPr>
          <w:tblHeader w:val="on"/>
        </w:trPr>
        <w:tc>
          <w:tcPr>
            <w:tcW w:type="pct" w:w="1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Layer</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Counsel posture</w:t>
            </w:r>
          </w:p>
        </w:tc>
        <w:tc>
          <w:tcPr>
            <w:tcW w:type="pct" w:w="21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review needed</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state machine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Patent-aligned technical control; supports minimization and unlinkability analysis for canonical records.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Cite rejection predicate, count-match, intermediate-state non-materialization, and implementation-test evidence in the counsel evidence appendix.</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Protected linkage / reconcile tier</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Operationally necessary for recovery, reveal, deletion, or lawful process workflows.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Treat as high-risk; require access controls, logs, retention, dual-control where needed, and customer-specific legal basis.</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Provider partitioning</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Important residual-risk reducer for protected linkage.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Document whether IDV/auth, linkage store, reconciling authority, and canonical commit authority are separate providers or roles; identify any single-provider reconstruction path.</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Endpoint/browser/local state</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Outside canonical-state patent guarantee.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Assess session sealing, local wipe, telemetry, malware, and network-correlation risks per deployment.</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Identity / wallet / IDV providers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Outside canonical-state patent guarantee except where commitments are scoped before canonical write.</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Assess biometric, identity-document, wallet-history, transfer, and provider-compulsion risks.</w:t>
            </w:r>
          </w:p>
        </w:tc>
      </w:tr>
      <w:tr>
        <w:tc>
          <w:tcPr>
            <w:tcW w:type="pct" w:w="1150"/>
            <w:tcBorders>
              <w:top w:val="single" w:sz="8" w:space="0" w:color="000000"/>
              <w:left w:val="single" w:sz="8" w:space="0" w:color="000000"/>
              <w:bottom w:val="single" w:sz="8" w:space="0" w:color="000000"/>
              <w:right w:val="single" w:sz="8" w:space="0" w:color="000000"/>
            </w:tcBorders>
          </w:tcPr>
          <w:p>
            <w:pPr>
              <w:pStyle w:val="Compact"/>
              <w:jc w:val="left"/>
            </w:pPr>
            <w:r>
              <w:t xml:space="preserve">Domain-specific deployments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Patent architecture may be reused, but risk analysis changes.</w:t>
            </w:r>
          </w:p>
        </w:tc>
        <w:tc>
          <w:tcPr>
            <w:tcW w:type="pct" w:w="2150"/>
            <w:tcBorders>
              <w:top w:val="single" w:sz="8" w:space="0" w:color="000000"/>
              <w:left w:val="single" w:sz="8" w:space="0" w:color="000000"/>
              <w:bottom w:val="single" w:sz="8" w:space="0" w:color="000000"/>
              <w:right w:val="single" w:sz="8" w:space="0" w:color="000000"/>
            </w:tcBorders>
          </w:tcPr>
          <w:p>
            <w:pPr>
              <w:pStyle w:val="Compact"/>
              <w:jc w:val="left"/>
            </w:pPr>
            <w:r>
              <w:t xml:space="preserve">Separate DPIA or domain annex required for voting, health, finance, betting, real estate allocation, workplace, camera/IoT, and other high-risk use cases.</w:t>
            </w:r>
          </w:p>
        </w:tc>
      </w:tr>
    </w:tbl>
    <w:bookmarkEnd w:id="19"/>
    <w:bookmarkStart w:id="20" w:name="package-contents"/>
    <w:p>
      <w:pPr>
        <w:numPr>
          <w:ilvl w:val="0"/>
          <w:numId w:val="1003"/>
        </w:numPr>
        <w:pStyle w:val="Heading2"/>
      </w:pPr>
      <w:r>
        <w:t xml:space="preserve">Package Contents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02"/>
        <w:gridCol w:w="1966"/>
        <w:gridCol w:w="4493"/>
      </w:tblGrid>
      <w:tr>
        <w:trPr>
          <w:tblHeader w:val="on"/>
        </w:trPr>
        <w:tc>
          <w:tcPr>
            <w:tcW w:type="pct" w:w="1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Document</w:t>
            </w:r>
          </w:p>
        </w:tc>
        <w:tc>
          <w:tcPr>
            <w:tcW w:type="pct" w:w="1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Current Status</w:t>
            </w:r>
          </w:p>
        </w:tc>
        <w:tc>
          <w:tcPr>
            <w:tcW w:type="pct" w:w="24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Purpose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REFERENCE_DPIA_TWIN_KERNEL_HUB.docx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Core reference DPIA for the Mainhub twin-kernel hub architecture. Kernel-first review target for counsel.</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DATA_PROCESSING_AGREEMENT.docx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Article 28 processor terms for customer-controller integrations.</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COMPLIANCE_GUIDE.docx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Customer-facing integration and privacy-review guide.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ARCHITECTURE_GUARANTEES_AND_DATA_MATRIX.docx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Shared technical posture, data classes, and guarantee/non-guarantee map.</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DOMAIN_DPIA_ROADMAP.docx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Inventory of product/use-case DPIAs to prepare after the reference DPIA.</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DPIA_BROWSER_ANALYTICS.docx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domain DPIA for browser analytics and sealed browser storage.</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DPIA_BROWSER_ANALYTICS_COUNSEL_REVIEW.docx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Reduced counsel-review variant of the browser analytics domain DPIA.</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DPIA_CONFIDENTIAL_STORE_KEYLESS_RECOVERY.docx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domain DPIA for KEYBOX, shystore, EHR-style sealed records, and keyless recovery.</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DPIA_CIVIC_VOTING_REFERENDA.docx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domain DPIA for POP-U-LIST, SEDA_HAQQ, TAPs, and civic voting/referenda.</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DPIA_DAO_WALLET_GOVERNANCE.docx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draft</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domain DPIA for BIGGLOM, wallet eligibility, weighted governance, and delegated voting.</w:t>
            </w:r>
          </w:p>
        </w:tc>
      </w:tr>
      <w:tr>
        <w:tc>
          <w:tcPr>
            <w:tcW w:type="pct" w:w="1550"/>
            <w:tcBorders>
              <w:top w:val="single" w:sz="8" w:space="0" w:color="000000"/>
              <w:left w:val="single" w:sz="8" w:space="0" w:color="000000"/>
              <w:bottom w:val="single" w:sz="8" w:space="0" w:color="000000"/>
              <w:right w:val="single" w:sz="8" w:space="0" w:color="000000"/>
            </w:tcBorders>
          </w:tcPr>
          <w:p>
            <w:pPr>
              <w:pStyle w:val="Compact"/>
              <w:jc w:val="left"/>
            </w:pPr>
            <w:r>
              <w:t xml:space="preserve">DPIA_*.docx</w:t>
            </w:r>
          </w:p>
        </w:tc>
        <w:tc>
          <w:tcPr>
            <w:tcW w:type="pct" w:w="1050"/>
            <w:tcBorders>
              <w:top w:val="single" w:sz="8" w:space="0" w:color="000000"/>
              <w:left w:val="single" w:sz="8" w:space="0" w:color="000000"/>
              <w:bottom w:val="single" w:sz="8" w:space="0" w:color="000000"/>
              <w:right w:val="single" w:sz="8" w:space="0" w:color="000000"/>
            </w:tcBorders>
          </w:tcPr>
          <w:p>
            <w:pPr>
              <w:pStyle w:val="Compact"/>
              <w:jc w:val="left"/>
            </w:pPr>
            <w:r>
              <w:t xml:space="preserve">First-pass drafts</w:t>
            </w:r>
          </w:p>
        </w:tc>
        <w:tc>
          <w:tcPr>
            <w:tcW w:type="pct" w:w="2400"/>
            <w:tcBorders>
              <w:top w:val="single" w:sz="8" w:space="0" w:color="000000"/>
              <w:left w:val="single" w:sz="8" w:space="0" w:color="000000"/>
              <w:bottom w:val="single" w:sz="8" w:space="0" w:color="000000"/>
              <w:right w:val="single" w:sz="8" w:space="0" w:color="000000"/>
            </w:tcBorders>
          </w:tcPr>
          <w:p>
            <w:pPr>
              <w:pStyle w:val="Compact"/>
              <w:jc w:val="left"/>
            </w:pPr>
            <w:r>
              <w:t xml:space="preserve">Billable product-domain DPIAs for chat, informant stream, transfer, custody, financing, betting, lots, and camera/IoT when in scope.</w:t>
            </w:r>
          </w:p>
        </w:tc>
      </w:tr>
    </w:tbl>
    <w:bookmarkEnd w:id="20"/>
    <w:bookmarkStart w:id="21" w:name="source-code-basis"/>
    <w:p>
      <w:pPr>
        <w:numPr>
          <w:ilvl w:val="0"/>
          <w:numId w:val="1003"/>
        </w:numPr>
        <w:pStyle w:val="Heading2"/>
      </w:pPr>
      <w:r>
        <w:t xml:space="preserve">Source Code Basis</w:t>
      </w:r>
    </w:p>
    <w:p>
      <w:pPr>
        <w:pStyle w:val="FirstParagraph"/>
      </w:pPr>
      <w:r>
        <w:t xml:space="preserve">This package reflects local repository surfaces including:</w:t>
      </w:r>
    </w:p>
    <w:p>
      <w:pPr>
        <w:numPr>
          <w:ilvl w:val="0"/>
          <w:numId w:val="1001"/>
        </w:numPr>
      </w:pPr>
      <w:r>
        <w:rPr>
          <w:rStyle w:val="VerbatimChar"/>
        </w:rPr>
        <w:t xml:space="preserve">shyware/documentation/docs</w:t>
      </w:r>
      <w:r>
        <w:t xml:space="preserve">: overview, quickstart, and architecture for the shared two-list state machine.</w:t>
      </w:r>
    </w:p>
    <w:p>
      <w:pPr>
        <w:numPr>
          <w:ilvl w:val="0"/>
          <w:numId w:val="1001"/>
        </w:numPr>
      </w:pPr>
      <w:r>
        <w:rPr>
          <w:rStyle w:val="VerbatimChar"/>
        </w:rPr>
        <w:t xml:space="preserve">shyware/sdk/web/clients</w:t>
      </w:r>
      <w:r>
        <w:t xml:space="preserve">: embodiment clients for voting, shares, wire, custody, contracts, store, browser, chat, bets, lots, stream, IoT, camera, and utilities.</w:t>
      </w:r>
    </w:p>
    <w:p>
      <w:pPr>
        <w:numPr>
          <w:ilvl w:val="0"/>
          <w:numId w:val="1001"/>
        </w:numPr>
      </w:pPr>
      <w:r>
        <w:rPr>
          <w:rStyle w:val="VerbatimChar"/>
        </w:rPr>
        <w:t xml:space="preserve">shyware/services/identity</w:t>
      </w:r>
      <w:r>
        <w:t xml:space="preserve">: Didit, Identus, wallet, and development identity verifier modes.</w:t>
      </w:r>
    </w:p>
    <w:p>
      <w:pPr>
        <w:numPr>
          <w:ilvl w:val="0"/>
          <w:numId w:val="1001"/>
        </w:numPr>
      </w:pPr>
      <w:r>
        <w:rPr>
          <w:rStyle w:val="VerbatimChar"/>
        </w:rPr>
        <w:t xml:space="preserve">shyware/services/reconcile</w:t>
      </w:r>
      <w:r>
        <w:t xml:space="preserve">: off-chain reconciling authority and linkage store.</w:t>
      </w:r>
    </w:p>
    <w:p>
      <w:pPr>
        <w:numPr>
          <w:ilvl w:val="0"/>
          <w:numId w:val="1001"/>
        </w:numPr>
      </w:pPr>
      <w:r>
        <w:rPr>
          <w:rStyle w:val="VerbatimChar"/>
        </w:rPr>
        <w:t xml:space="preserve">Consumers/</w:t>
      </w:r>
      <w:r>
        <w:t xml:space="preserve">: product surfaces including BROWSER, POP-U-LIST, SEDA_HAQQ, BIGGLOM, ONEWAY_WIKI, VAULTS_BIZ, VAU_MONEY, BOOK_COM, KEYBOX, SCYTALE_FYI, INFORMANT_STREAM, and related SDK integrations.</w:t>
      </w:r>
    </w:p>
    <w:bookmarkEnd w:id="21"/>
    <w:bookmarkStart w:id="22" w:name="immediate-counsel-questions"/>
    <w:p>
      <w:pPr>
        <w:numPr>
          <w:ilvl w:val="0"/>
          <w:numId w:val="1003"/>
        </w:numPr>
        <w:pStyle w:val="Heading2"/>
      </w:pPr>
      <w:r>
        <w:t xml:space="preserve">Immediate Counsel Questions</w:t>
      </w:r>
    </w:p>
    <w:p>
      <w:pPr>
        <w:numPr>
          <w:ilvl w:val="0"/>
          <w:numId w:val="1002"/>
        </w:numPr>
      </w:pPr>
      <w:r>
        <w:t xml:space="preserve">Does the twin-kernel hub reference DPIA correctly frame Shyware as processor/supporting technology for customer controllers?</w:t>
      </w:r>
    </w:p>
    <w:p>
      <w:pPr>
        <w:numPr>
          <w:ilvl w:val="0"/>
          <w:numId w:val="1002"/>
        </w:numPr>
      </w:pPr>
      <w:r>
        <w:t xml:space="preserve">Should browser analytics remain a Shyware-authored domain DPIA, be customer-adaptable, or be split into both forms?</w:t>
      </w:r>
    </w:p>
    <w:p>
      <w:pPr>
        <w:numPr>
          <w:ilvl w:val="0"/>
          <w:numId w:val="1002"/>
        </w:numPr>
      </w:pPr>
      <w:r>
        <w:t xml:space="preserve">Which billable domain DPIAs in the roadmap should be prioritized for the first SaaS Lawyer review cycle?</w:t>
      </w:r>
    </w:p>
    <w:p>
      <w:pPr>
        <w:numPr>
          <w:ilvl w:val="0"/>
          <w:numId w:val="1002"/>
        </w:numPr>
      </w:pPr>
      <w:r>
        <w:t xml:space="preserve">Does the DPA adequately cover hosted reconciliation, identity-provider interactions, subprocessor obligations, and cross-border transfer mechanisms?</w:t>
      </w:r>
    </w:p>
    <w:p>
      <w:pPr>
        <w:numPr>
          <w:ilvl w:val="0"/>
          <w:numId w:val="1002"/>
        </w:numPr>
      </w:pPr>
      <w:r>
        <w:t xml:space="preserve">Does the public</w:t>
      </w:r>
      <w:r>
        <w:t xml:space="preserve"> </w:t>
      </w:r>
      <w:r>
        <w:rPr>
          <w:rStyle w:val="VerbatimChar"/>
        </w:rPr>
        <w:t xml:space="preserve">shyware.fyi/legal</w:t>
      </w:r>
      <w:r>
        <w:t xml:space="preserve"> </w:t>
      </w:r>
      <w:r>
        <w:t xml:space="preserve">posture avoid overclaiming certification or universal GDPR compliance?</w:t>
      </w:r>
    </w:p>
    <w:p>
      <w:pPr>
        <w:numPr>
          <w:ilvl w:val="0"/>
          <w:numId w:val="1002"/>
        </w:numPr>
      </w:pPr>
      <w:r>
        <w:t xml:space="preserve">Does every public and customer-facing statement preserve the distinction between canonical-state structural guarantees and full-system privacy risks?</w:t>
      </w:r>
    </w:p>
    <w:bookmarkEnd w:id="22"/>
    <w:bookmarkStart w:id="23" w:name="open-todos"/>
    <w:p>
      <w:pPr>
        <w:numPr>
          <w:ilvl w:val="0"/>
          <w:numId w:val="1003"/>
        </w:numPr>
        <w:pStyle w:val="Heading2"/>
      </w:pPr>
      <w:r>
        <w:t xml:space="preserve">Open Todos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059"/>
        <w:gridCol w:w="4774"/>
        <w:gridCol w:w="2527"/>
      </w:tblGrid>
      <w:tr>
        <w:trPr>
          <w:tblHeader w:val="on"/>
        </w:trPr>
        <w:tc>
          <w:tcPr>
            <w:tcW w:type="pct" w:w="11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Priority</w:t>
            </w:r>
          </w:p>
        </w:tc>
        <w:tc>
          <w:tcPr>
            <w:tcW w:type="pct" w:w="25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Task</w:t>
            </w:r>
          </w:p>
        </w:tc>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Owner</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P0</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Counsel review of twin-kernel hub reference DPIA as the kernel-first framing document.</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counsel</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P0</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Counsel review of each in-scope product-domain DPIA as a billable target after kernel framing.</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Privacy counsel / Product</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P0</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Confirm public wording for Shyware as processor and customer as controller.</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P0</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Complete named subprocessor list and transfer mechanism table.</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 / Engineering</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P1</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Expand first-pass domain DPIAs into counsel-ready EDPB-template drafts.</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 / Product</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P1</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Expand remaining first-pass domain DPIAs for chat, informant stream, transfer, custody, financing, betting, lots, and camera/IoT.</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 / Product</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P1</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Add Security/TOMs detail beyond the high-level DPA annex.</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Security / Engineering</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P1</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Add product-specific data retention defaults and deletion behavior.</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Product / Engineering</w:t>
            </w:r>
          </w:p>
        </w:tc>
      </w:tr>
      <w:tr>
        <w:tc>
          <w:tcPr>
            <w:tcW w:type="pct" w:w="1100"/>
            <w:tcBorders>
              <w:top w:val="single" w:sz="8" w:space="0" w:color="000000"/>
              <w:left w:val="single" w:sz="8" w:space="0" w:color="000000"/>
              <w:bottom w:val="single" w:sz="8" w:space="0" w:color="000000"/>
              <w:right w:val="single" w:sz="8" w:space="0" w:color="000000"/>
            </w:tcBorders>
          </w:tcPr>
          <w:p>
            <w:pPr>
              <w:pStyle w:val="Compact"/>
              <w:jc w:val="left"/>
            </w:pPr>
            <w:r>
              <w:t xml:space="preserve">P2</w:t>
            </w:r>
          </w:p>
        </w:tc>
        <w:tc>
          <w:tcPr>
            <w:tcW w:type="pct" w:w="2550"/>
            <w:tcBorders>
              <w:top w:val="single" w:sz="8" w:space="0" w:color="000000"/>
              <w:left w:val="single" w:sz="8" w:space="0" w:color="000000"/>
              <w:bottom w:val="single" w:sz="8" w:space="0" w:color="000000"/>
              <w:right w:val="single" w:sz="8" w:space="0" w:color="000000"/>
            </w:tcBorders>
          </w:tcPr>
          <w:p>
            <w:pPr>
              <w:pStyle w:val="Compact"/>
              <w:jc w:val="left"/>
            </w:pPr>
            <w:r>
              <w:t xml:space="preserve">Build customer-facing intake checklist for DPIA support requests.</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t xml:space="preserve">Legal / Support</w:t>
            </w:r>
          </w:p>
        </w:tc>
      </w:tr>
    </w:tbl>
    <w:bookmarkEnd w:id="23"/>
    <w:bookmarkEnd w:id="24"/>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Core Shyware Processor Package</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2026-05-24T18:51:46Z</dcterms:created>
  <dcterms:modified xsi:type="dcterms:W3CDTF">2026-05-24T18:51:46Z</dcterms:modified>
</cp:coreProperties>
</file>

<file path=docProps/custom.xml><?xml version="1.0" encoding="utf-8"?>
<Properties xmlns="http://schemas.openxmlformats.org/officeDocument/2006/custom-properties" xmlns:vt="http://schemas.openxmlformats.org/officeDocument/2006/docPropsVTypes"/>
</file>