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3" w:name="shyware-domain-dpia-roadmap"/>
    <w:p>
      <w:pPr>
        <w:pStyle w:val="Heading1"/>
      </w:pPr>
      <w:r>
        <w:t xml:space="preserve">Shyware Domain DPIA Roadmap</w:t>
      </w:r>
    </w:p>
    <w:p>
      <w:pPr>
        <w:pStyle w:val="FirstParagraph"/>
      </w:pPr>
      <w:r>
        <w:t xml:space="preserve">This roadmap identifies separate DPIA candidates visible from the current Shyware SDK and consumer product surfaces. These should be treated as candidate DPIAs, not merely optional annexes, because each domain changes the purposes, data subjects, legal basis assumptions, and high-risk processing analysis.</w:t>
      </w:r>
    </w:p>
    <w:bookmarkStart w:id="18" w:name="domain-roadmap-patent-alignment"/>
    <w:p>
      <w:pPr>
        <w:numPr>
          <w:ilvl w:val="0"/>
          <w:numId w:val="1003"/>
        </w:numPr>
        <w:pStyle w:val="Heading2"/>
      </w:pPr>
      <w:r>
        <w:t xml:space="preserve">Patent Alignment Rule</w:t>
      </w:r>
    </w:p>
    <w:p>
      <w:pPr>
        <w:pStyle w:val="FirstParagraph"/>
      </w:pPr>
      <w:r>
        <w:t xml:space="preserve">Every domain DPIA should preserve the Mainhub patent boundary expressed in the twin-kernel reference DPIA: write-side canonical-state non-representability of the identity–payload join, plus reconcile-side constrained utility through protected linkage, non-enumerable single-subject retrieval, and provider/authority partitioning. Those controls can reduce canonical-layer and single-provider linkage risk, but they do not resolve domain-specific risks created by payload content, off-chain linkage, recovery/reveal authority, endpoint state, network observation, IDV/wallet providers, controller eligibility rules, legal duties, or human harms. Domain DPIAs must therefore state what the twin-kernel architecture helps with and what remains outside that guarantee.</w:t>
      </w:r>
    </w:p>
    <w:bookmarkEnd w:id="18"/>
    <w:bookmarkStart w:id="19" w:name="domain-roadmap-residual-risk-rule"/>
    <w:p>
      <w:pPr>
        <w:numPr>
          <w:ilvl w:val="0"/>
          <w:numId w:val="1003"/>
        </w:numPr>
        <w:pStyle w:val="Heading2"/>
      </w:pPr>
      <w:r>
        <w:t xml:space="preserve">Residual Risk Assessment Rule</w:t>
      </w:r>
    </w:p>
    <w:p>
      <w:pPr>
        <w:pStyle w:val="FirstParagraph"/>
      </w:pPr>
      <w:r>
        <w:t xml:space="preserve">Each DPIA is the audit record and billable review target for its processing pattern. The twin-kernel hub reference DPIA contains the package-level scored residual risk assessment and should be reviewed first so counsel can evaluate the kernel assumptions before domain-specific work. Browser analytics also has a full scored residual risk assessment because it was drafted first. The remaining first-pass domain DPIAs contain issue-spotting risk tables plus required audit findings, but they are not yet counsel-ready scored residual assessments. Before any domain moves to production, the DPIA itself should receive a residual risk table using the same method as the twin-kernel reference DPIA.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808"/>
        <w:gridCol w:w="4212"/>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risk family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domain assessment</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Patent/provider-partition note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Attach or cite rejection predicate, intermediate-state non-materialization, count-match or conservation invariant, and test evidence for the relevant embodiment.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Patent guarantee only helps if the embodiment actually implements the relevant two-list state-machine constraints; core tests are known, but each domain still needs evidence-room linkage.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Identify whether recovery/reveal is disabled, user-only, controller-approved, or lawful-process enabled.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Stipulate provider partitioning: IDV/auth provider, linkage store, reconciling authority, and canonical commit authority should be separated or the single-provider reconstruction risk must be accepted.</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Payload/content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whether payload content itself identifies the user or third parties.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unlinkability does not protect self-identifying content.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Endpoint/local state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receipts, cache, device storage, notifications, malware, screenshots, and support artifacts.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guarantee.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Network/timing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IP metadata, API logs, ingress timing, hostile networks, and global-adversary claims.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 controls reduce moderate-risk correlation only; they are not Tor.</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Identity/wallet/IDV</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biometric, document, wallet-history, KYB/KYC, transfer, and provider-compulsion risks.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 can reduce single-provider attribution, but it must be documented per deployment.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schema, legal basis, retention, user notices, access policy, telemetry, and domain rules.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choices can defeat the intended privacy posture.</w:t>
            </w:r>
          </w:p>
        </w:tc>
      </w:tr>
    </w:tbl>
    <w:bookmarkEnd w:id="19"/>
    <w:bookmarkStart w:id="20" w:name="dpia-inventory"/>
    <w:p>
      <w:pPr>
        <w:numPr>
          <w:ilvl w:val="0"/>
          <w:numId w:val="1003"/>
        </w:numPr>
        <w:pStyle w:val="Heading2"/>
      </w:pPr>
      <w:r>
        <w:t xml:space="preserve">DPIA Inventory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2059"/>
        <w:gridCol w:w="3089"/>
        <w:gridCol w:w="2059"/>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Candidate DPIA</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Repo/Product Evidence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Why Separate</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Priority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Browser analytics and sealed browser storage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Consumers/BROWSER</w:t>
            </w:r>
            <w:r>
              <w:t xml:space="preserve">,</w:t>
            </w:r>
            <w:r>
              <w:t xml:space="preserve"> </w:t>
            </w:r>
            <w:r>
              <w:rPr>
                <w:rStyle w:val="VerbatimChar"/>
              </w:rPr>
              <w:t xml:space="preserve">shybrowserClient.js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Web-session data, sealed browser payloads, optional identity attributes, behavioral analytics framing.</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DPIA drafted; keep separate from the twin-kernel reference.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Civic voting and referenda</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Consumers/POP-U-LIST</w:t>
            </w:r>
            <w:r>
              <w:t xml:space="preserve">,</w:t>
            </w:r>
            <w:r>
              <w:t xml:space="preserve"> </w:t>
            </w:r>
            <w:r>
              <w:rPr>
                <w:rStyle w:val="VerbatimChar"/>
              </w:rPr>
              <w:t xml:space="preserve">Consumers/SEDA_HAQQ</w:t>
            </w:r>
            <w:r>
              <w:t xml:space="preserve">,</w:t>
            </w:r>
            <w:r>
              <w:t xml:space="preserve"> </w:t>
            </w:r>
            <w:r>
              <w:rPr>
                <w:rStyle w:val="VerbatimChar"/>
              </w:rPr>
              <w:t xml:space="preserve">votingClient.js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opinion inference, democratic participation, IDV, receipt confirmation, possible special-category context.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DAO governance and wallet eligibility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Consumers/BIGGLOM</w:t>
            </w:r>
            <w:r>
              <w:t xml:space="preserve">,</w:t>
            </w:r>
            <w:r>
              <w:t xml:space="preserve"> </w:t>
            </w:r>
            <w:r>
              <w:rPr>
                <w:rStyle w:val="VerbatimChar"/>
              </w:rPr>
              <w:t xml:space="preserve">sharesClient.js</w:t>
            </w:r>
            <w:r>
              <w:t xml:space="preserve">, wallet verifier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Wallet/account commitment, membership snapshots, delegated weight, governance choices.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Confidential secret store / EHR / keyless recovery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Consumers/KEYBOX</w:t>
            </w:r>
            <w:r>
              <w:t xml:space="preserve">,</w:t>
            </w:r>
            <w:r>
              <w:t xml:space="preserve"> </w:t>
            </w:r>
            <w:r>
              <w:rPr>
                <w:rStyle w:val="VerbatimChar"/>
              </w:rPr>
              <w:t xml:space="preserve">storeClient.js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Health-record examples, secrets, recovery, sealed payloads, identity-gated access.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P0/P1 due health data potential.</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Anonymous review / informant stream</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Consumers/INFORMANT_STREAM</w:t>
            </w:r>
            <w:r>
              <w:t xml:space="preserve">, stream/private surfaces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Whistleblowing, reputation, workplace or platform harms, retaliation risk.</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chat / Scytale communications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Consumers/SCYTALE_FYI</w:t>
            </w:r>
            <w:r>
              <w:t xml:space="preserve">,</w:t>
            </w:r>
            <w:r>
              <w:t xml:space="preserve"> </w:t>
            </w:r>
            <w:r>
              <w:rPr>
                <w:rStyle w:val="VerbatimChar"/>
              </w:rPr>
              <w:t xml:space="preserve">chatClient.js</w:t>
            </w:r>
            <w:r>
              <w:t xml:space="preserve">, runtime chat migration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account auth, private surfaces, communications metadata.</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value transfer</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Consumers/ONEWAY_WIKI</w:t>
            </w:r>
            <w:r>
              <w:t xml:space="preserve">,</w:t>
            </w:r>
            <w:r>
              <w:t xml:space="preserve"> </w:t>
            </w:r>
            <w:r>
              <w:rPr>
                <w:rStyle w:val="VerbatimChar"/>
              </w:rPr>
              <w:t xml:space="preserve">wireClient.js</w:t>
            </w:r>
            <w:r>
              <w:t xml:space="preserve">,</w:t>
            </w:r>
            <w:r>
              <w:t xml:space="preserve"> </w:t>
            </w:r>
            <w:r>
              <w:rPr>
                <w:rStyle w:val="VerbatimChar"/>
              </w:rPr>
              <w:t xml:space="preserve">shywire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transfer records, eligibility, sanctions/fraud controls, recoverable attribution.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Commodity custody / vaults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Consumers/VAULTS_BIZ</w:t>
            </w:r>
            <w:r>
              <w:t xml:space="preserve">,</w:t>
            </w:r>
            <w:r>
              <w:t xml:space="preserve"> </w:t>
            </w:r>
            <w:r>
              <w:rPr>
                <w:rStyle w:val="VerbatimChar"/>
              </w:rPr>
              <w:t xml:space="preserve">custodyClient.js</w:t>
            </w:r>
            <w:r>
              <w:t xml:space="preserve">,</w:t>
            </w:r>
            <w:r>
              <w:t xml:space="preserve"> </w:t>
            </w:r>
            <w:r>
              <w:rPr>
                <w:rStyle w:val="VerbatimChar"/>
              </w:rPr>
              <w:t xml:space="preserve">shycam</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redemption, warehouse/KYB, liveness/camera attestation.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Revenue financing / contracts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Consumers/VAU_MONEY</w:t>
            </w:r>
            <w:r>
              <w:t xml:space="preserve">,</w:t>
            </w:r>
            <w:r>
              <w:t xml:space="preserve"> </w:t>
            </w:r>
            <w:r>
              <w:rPr>
                <w:rStyle w:val="VerbatimChar"/>
              </w:rPr>
              <w:t xml:space="preserve">contractsClient.js</w:t>
            </w:r>
            <w:r>
              <w:t xml:space="preserve">,</w:t>
            </w:r>
            <w:r>
              <w:t xml:space="preserve"> </w:t>
            </w:r>
            <w:r>
              <w:rPr>
                <w:rStyle w:val="VerbatimChar"/>
              </w:rPr>
              <w:t xml:space="preserve">financingClient.js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Commercial financing, revenue remittance, KYB/KYC, adverse action possibility.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Betting / markets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Consumers/BOOK_COM</w:t>
            </w:r>
            <w:r>
              <w:t xml:space="preserve">,</w:t>
            </w:r>
            <w:r>
              <w:t xml:space="preserve"> </w:t>
            </w:r>
            <w:r>
              <w:rPr>
                <w:rStyle w:val="VerbatimChar"/>
              </w:rPr>
              <w:t xml:space="preserve">betsClient.js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Gambling/market orders, age/eligibility, payment and risk controls.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regulatory review required.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Lots / real estate allocation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Consumers/YARD_CASA</w:t>
            </w:r>
            <w:r>
              <w:t xml:space="preserve">,</w:t>
            </w:r>
            <w:r>
              <w:t xml:space="preserve"> </w:t>
            </w:r>
            <w:r>
              <w:rPr>
                <w:rStyle w:val="VerbatimChar"/>
              </w:rPr>
              <w:t xml:space="preserve">lotsClient.js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Housing/property interest, identity and eligibility allocation, potential fairness duties.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if launch-bound.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Camera/IoT attestation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shycam</w:t>
            </w:r>
            <w:r>
              <w:t xml:space="preserve">,</w:t>
            </w:r>
            <w:r>
              <w:t xml:space="preserve"> </w:t>
            </w:r>
            <w:r>
              <w:rPr>
                <w:rStyle w:val="VerbatimChar"/>
              </w:rPr>
              <w:t xml:space="preserve">camClient.js</w:t>
            </w:r>
            <w:r>
              <w:t xml:space="preserve">,</w:t>
            </w:r>
            <w:r>
              <w:t xml:space="preserve"> </w:t>
            </w:r>
            <w:r>
              <w:rPr>
                <w:rStyle w:val="VerbatimChar"/>
              </w:rPr>
              <w:t xml:space="preserve">IoTClient.js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Sensor evidence, liveness proofs, physical-world surveillance risk.</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if launch-bound.</w:t>
            </w:r>
          </w:p>
        </w:tc>
      </w:tr>
    </w:tbl>
    <w:bookmarkEnd w:id="20"/>
    <w:bookmarkStart w:id="21" w:name="recommended-sequence"/>
    <w:p>
      <w:pPr>
        <w:numPr>
          <w:ilvl w:val="0"/>
          <w:numId w:val="1003"/>
        </w:numPr>
        <w:pStyle w:val="Heading2"/>
      </w:pPr>
      <w:r>
        <w:t xml:space="preserve">Recommended Sequence</w:t>
      </w:r>
    </w:p>
    <w:p>
      <w:pPr>
        <w:numPr>
          <w:ilvl w:val="0"/>
          <w:numId w:val="1001"/>
        </w:numPr>
      </w:pPr>
      <w:r>
        <w:t xml:space="preserve">Review the twin-kernel hub reference DPIA first as the kernel-level framing document.</w:t>
      </w:r>
    </w:p>
    <w:p>
      <w:pPr>
        <w:numPr>
          <w:ilvl w:val="0"/>
          <w:numId w:val="1001"/>
        </w:numPr>
      </w:pPr>
      <w:r>
        <w:t xml:space="preserve">Select the billable domain DPIAs for the current SaaS Lawyer review cycle based on product priority and launch risk.</w:t>
      </w:r>
    </w:p>
    <w:p>
      <w:pPr>
        <w:numPr>
          <w:ilvl w:val="0"/>
          <w:numId w:val="1001"/>
        </w:numPr>
      </w:pPr>
      <w:r>
        <w:t xml:space="preserve">Expand the confidential store/keyless recovery DPIA because KEYBOX includes EHR-style data and sealed secrets.</w:t>
      </w:r>
    </w:p>
    <w:p>
      <w:pPr>
        <w:numPr>
          <w:ilvl w:val="0"/>
          <w:numId w:val="1001"/>
        </w:numPr>
      </w:pPr>
      <w:r>
        <w:t xml:space="preserve">Expand the civic voting/referenda DPIA because political participation can implicate special-category inference and democratic rights.</w:t>
      </w:r>
    </w:p>
    <w:p>
      <w:pPr>
        <w:numPr>
          <w:ilvl w:val="0"/>
          <w:numId w:val="1001"/>
        </w:numPr>
      </w:pPr>
      <w:r>
        <w:t xml:space="preserve">Expand the DAO/wallet governance DPIA because wallet identity and delegated governance create linkability and eligibility risks.</w:t>
      </w:r>
    </w:p>
    <w:p>
      <w:pPr>
        <w:numPr>
          <w:ilvl w:val="0"/>
          <w:numId w:val="1001"/>
        </w:numPr>
      </w:pPr>
      <w:r>
        <w:t xml:space="preserve">Prepare financing/value-transfer/custody DPIAs before those products move from private surface to launch surface.</w:t>
      </w:r>
    </w:p>
    <w:bookmarkEnd w:id="21"/>
    <w:bookmarkStart w:id="22" w:name="template-for-each-domain-dpia"/>
    <w:p>
      <w:pPr>
        <w:numPr>
          <w:ilvl w:val="0"/>
          <w:numId w:val="1003"/>
        </w:numPr>
        <w:pStyle w:val="Heading2"/>
      </w:pPr>
      <w:r>
        <w:t xml:space="preserve">Template for Each Domain DPIA</w:t>
      </w:r>
    </w:p>
    <w:p>
      <w:pPr>
        <w:pStyle w:val="FirstParagraph"/>
      </w:pPr>
      <w:r>
        <w:t xml:space="preserve">Each domain DPIA should reuse the EDPB template and answer:</w:t>
      </w:r>
    </w:p>
    <w:p>
      <w:pPr>
        <w:numPr>
          <w:ilvl w:val="0"/>
          <w:numId w:val="1002"/>
        </w:numPr>
      </w:pPr>
      <w:r>
        <w:t xml:space="preserve">Controller/customer use case and Shyware role.</w:t>
      </w:r>
    </w:p>
    <w:p>
      <w:pPr>
        <w:numPr>
          <w:ilvl w:val="0"/>
          <w:numId w:val="1002"/>
        </w:numPr>
      </w:pPr>
      <w:r>
        <w:t xml:space="preserve">Data subjects and foreseeable vulnerable groups.</w:t>
      </w:r>
    </w:p>
    <w:p>
      <w:pPr>
        <w:numPr>
          <w:ilvl w:val="0"/>
          <w:numId w:val="1002"/>
        </w:numPr>
      </w:pPr>
      <w:r>
        <w:t xml:space="preserve">Purpose, legal basis, and whether special-category or high-risk inferences arise.</w:t>
      </w:r>
    </w:p>
    <w:p>
      <w:pPr>
        <w:numPr>
          <w:ilvl w:val="0"/>
          <w:numId w:val="1002"/>
        </w:numPr>
      </w:pPr>
      <w:r>
        <w:t xml:space="preserve">Identity mode: Didit, Identus, wallet, ZK, none, or product-specific verifier.</w:t>
      </w:r>
    </w:p>
    <w:p>
      <w:pPr>
        <w:numPr>
          <w:ilvl w:val="0"/>
          <w:numId w:val="1002"/>
        </w:numPr>
      </w:pPr>
      <w:r>
        <w:t xml:space="preserve">Canonical List 1/List 2 data elements.</w:t>
      </w:r>
    </w:p>
    <w:p>
      <w:pPr>
        <w:numPr>
          <w:ilvl w:val="0"/>
          <w:numId w:val="1002"/>
        </w:numPr>
      </w:pPr>
      <w:r>
        <w:t xml:space="preserve">Off-chain linkage/recovery authority and whether it is optional, required, or disabled.</w:t>
      </w:r>
    </w:p>
    <w:p>
      <w:pPr>
        <w:numPr>
          <w:ilvl w:val="0"/>
          <w:numId w:val="1002"/>
        </w:numPr>
      </w:pPr>
      <w:r>
        <w:t xml:space="preserve">Provider partitioning across IDV/auth provider, linkage store, reconciling authority, and canonical commit authority.</w:t>
      </w:r>
    </w:p>
    <w:p>
      <w:pPr>
        <w:numPr>
          <w:ilvl w:val="0"/>
          <w:numId w:val="1002"/>
        </w:numPr>
      </w:pPr>
      <w:r>
        <w:t xml:space="preserve">Data subject rights workflow and operational limits.</w:t>
      </w:r>
    </w:p>
    <w:p>
      <w:pPr>
        <w:numPr>
          <w:ilvl w:val="0"/>
          <w:numId w:val="1002"/>
        </w:numPr>
      </w:pPr>
      <w:r>
        <w:t xml:space="preserve">Retention and deletion mechanics across canonical state, off-chain store, local client storage, logs, and IDV provider.</w:t>
      </w:r>
    </w:p>
    <w:p>
      <w:pPr>
        <w:numPr>
          <w:ilvl w:val="0"/>
          <w:numId w:val="1002"/>
        </w:numPr>
      </w:pPr>
      <w:r>
        <w:t xml:space="preserve">Residual risks and whether prior consultation could be triggered for a customer deployment.</w:t>
      </w:r>
    </w:p>
    <w:bookmarkEnd w:id="22"/>
    <w:bookmarkEnd w:id="2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 Roadmap</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2026-05-24T18:51:47Z</dcterms:created>
  <dcterms:modified xsi:type="dcterms:W3CDTF">2026-05-24T18:51:47Z</dcterms:modified>
</cp:coreProperties>
</file>

<file path=docProps/custom.xml><?xml version="1.0" encoding="utf-8"?>
<Properties xmlns="http://schemas.openxmlformats.org/officeDocument/2006/custom-properties" xmlns:vt="http://schemas.openxmlformats.org/officeDocument/2006/docPropsVTypes"/>
</file>