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Twin-Kernel Hub Reference</w:t>
      </w:r>
    </w:p>
    <w:p>
      <w:r>
        <w:pict>
          <v:rect style="width:0;height:1.5pt" o:hralign="center" o:hrstd="t" o:hr="t"/>
        </w:pict>
      </w:r>
    </w:p>
    <w:bookmarkStart w:id="22" w:name="overview-twin-kernel-hub"/>
    <w:p>
      <w:pPr>
        <w:pStyle w:val="Heading2"/>
      </w:pPr>
      <w:r>
        <w:t xml:space="preserve">OVERVIEW OF THE PROCESSING</w:t>
      </w:r>
    </w:p>
    <w:bookmarkStart w:id="18" w:name="controllers-twin-kernel-hub"/>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controller operating a Shyware-enabled product or deployment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Processor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co-mission LLC / Shyware, where SDK, hosted services, reconciliation, audit, support, or security services are provided under the Shyware DPA</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Management units responsible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Product Engineering; Security; Legal / Compliance; Data Protection; Customer Success</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Shyware privacy contact plus customer DPO or privacy contact</w:t>
            </w:r>
          </w:p>
        </w:tc>
      </w:tr>
    </w:tbl>
    <w:bookmarkEnd w:id="18"/>
    <w:bookmarkStart w:id="19" w:name="processors-twin-kernel-hub"/>
    <w:p>
      <w:pPr>
        <w:pStyle w:val="Heading3"/>
      </w:pPr>
      <w:r>
        <w:t xml:space="preserve">Processor(s) and Sub-processor(s)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838"/>
        <w:gridCol w:w="4774"/>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2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Processor / role</w:t>
            </w:r>
          </w:p>
        </w:tc>
        <w:tc>
          <w:tcPr>
            <w:tcW w:type="pct" w:w="2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Obligations and tasks</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co-mission LLC / Shyware</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Provides SDK, canonical runtime support, optional hosted API, protected-linkage or reconciliation support, audit artifacts, security support, and processor assistance</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Cloud infrastructure provider</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Hosts APIs, canonical nodes, databases, backups, observability, and security infrastructure where hosted services are used</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wallet, IDV, or authentication provider</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Supports configured identity, personhood, eligibility, wallet, account, biometric, or session proof workflows</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Protected-linkage or reconcile store provider</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Stores deployment-scoped recovery or reveal linkage where enabled by the controller and Shyware configuration</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Telemetry, support, and security providers</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Process operational data needed to maintain, secure, and support the service, subject to logging exclusions</w:t>
            </w:r>
          </w:p>
        </w:tc>
      </w:tr>
    </w:tbl>
    <w:bookmarkEnd w:id="19"/>
    <w:bookmarkStart w:id="20" w:name="name-twin-kernel-hub"/>
    <w:p>
      <w:pPr>
        <w:pStyle w:val="Heading3"/>
      </w:pPr>
      <w:r>
        <w:t xml:space="preserve">Name of the Processing</w:t>
      </w:r>
    </w:p>
    <w:p>
      <w:pPr>
        <w:pStyle w:val="FirstParagraph"/>
      </w:pPr>
      <w:r>
        <w:rPr>
          <w:b/>
          <w:bCs/>
        </w:rPr>
        <w:t xml:space="preserve">Internal name:</w:t>
      </w:r>
      <w:r>
        <w:t xml:space="preserve"> </w:t>
      </w:r>
      <w:r>
        <w:t xml:space="preserve">Shyware Twin-Kernel Hub Reference DPIA</w:t>
      </w:r>
    </w:p>
    <w:p>
      <w:pPr>
        <w:pStyle w:val="BodyText"/>
      </w:pPr>
      <w:r>
        <w:rPr>
          <w:b/>
          <w:bCs/>
        </w:rPr>
        <w:t xml:space="preserve">Repository evidence:</w:t>
      </w:r>
      <w:r>
        <w:t xml:space="preserve"> </w:t>
      </w:r>
      <w:r>
        <w:rPr>
          <w:rStyle w:val="VerbatimChar"/>
        </w:rPr>
        <w:t xml:space="preserve">patent/mainhub/composition.tex</w:t>
      </w:r>
      <w:r>
        <w:t xml:space="preserve">;</w:t>
      </w:r>
      <w:r>
        <w:t xml:space="preserve"> </w:t>
      </w:r>
      <w:r>
        <w:rPr>
          <w:rStyle w:val="VerbatimChar"/>
        </w:rPr>
        <w:t xml:space="preserve">patent/mainhub/CLAIMS_TABLE.md</w:t>
      </w:r>
      <w:r>
        <w:t xml:space="preserve">;</w:t>
      </w:r>
      <w:r>
        <w:t xml:space="preserve"> </w:t>
      </w:r>
      <w:r>
        <w:rPr>
          <w:rStyle w:val="VerbatimChar"/>
        </w:rPr>
        <w:t xml:space="preserve">shyware/services/reconcile</w:t>
      </w:r>
      <w:r>
        <w:t xml:space="preserve">;</w:t>
      </w:r>
      <w:r>
        <w:t xml:space="preserve"> </w:t>
      </w:r>
      <w:r>
        <w:rPr>
          <w:rStyle w:val="VerbatimChar"/>
        </w:rPr>
        <w:t xml:space="preserve">shyware/services/identity</w:t>
      </w:r>
      <w:r>
        <w:t xml:space="preserve">;</w:t>
      </w:r>
      <w:r>
        <w:t xml:space="preserve"> </w:t>
      </w:r>
      <w:r>
        <w:rPr>
          <w:rStyle w:val="VerbatimChar"/>
        </w:rPr>
        <w:t xml:space="preserve">shyware/sdk/web/clients</w:t>
      </w:r>
      <w:r>
        <w:t xml:space="preserve">;</w:t>
      </w:r>
      <w:r>
        <w:t xml:space="preserve"> </w:t>
      </w:r>
      <w:r>
        <w:rPr>
          <w:rStyle w:val="VerbatimChar"/>
        </w:rPr>
        <w:t xml:space="preserve">Consumers/</w:t>
      </w:r>
      <w:r>
        <w:t xml:space="preserve">.</w:t>
      </w:r>
    </w:p>
    <w:bookmarkEnd w:id="20"/>
    <w:bookmarkStart w:id="21" w:name="technical-sheet-twin-kernel-hub"/>
    <w:p>
      <w:pPr>
        <w:pStyle w:val="Heading3"/>
      </w:pPr>
      <w:r>
        <w:t xml:space="preserve">DPIA Technical Sheet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Current version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0.1 draft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Reason to conduct DPIA</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Shyware is an SDK and processor architecture that can support high-risk customer deployments involving identity, eligibility, protected linkage, recovery, reveal, wallet, health-style, civic, finance, communications, camera/IoT, and other sensitive contexts</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Scope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Core twin-kernel hub architecture: write-side canonical state exclusion plus reconcile-side constrained utility through protected linkage, non-enumerable single-subject retrieval, and provider/authority partitioning</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Publication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Internal reference DPIA for counsel review; customer-specific domain DPIAs required before production use</w:t>
            </w:r>
          </w:p>
        </w:tc>
      </w:tr>
    </w:tbl>
    <w:p>
      <w:r>
        <w:pict>
          <v:rect style="width:0;height:1.5pt" o:hralign="center" o:hrstd="t" o:hr="t"/>
        </w:pict>
      </w:r>
    </w:p>
    <w:bookmarkEnd w:id="21"/>
    <w:bookmarkEnd w:id="22"/>
    <w:bookmarkStart w:id="29" w:name="systematic-description-twin-kernel-hub"/>
    <w:p>
      <w:pPr>
        <w:numPr>
          <w:ilvl w:val="0"/>
          <w:numId w:val="1003"/>
        </w:numPr>
        <w:pStyle w:val="Heading2"/>
      </w:pPr>
      <w:r>
        <w:t xml:space="preserve">SYSTEMATIC DESCRIPTION OF THE PROCESSING</w:t>
      </w:r>
    </w:p>
    <w:bookmarkStart w:id="27" w:name="high-level-twin-kernel-hub"/>
    <w:p>
      <w:pPr>
        <w:numPr>
          <w:ilvl w:val="1"/>
          <w:numId w:val="1003"/>
        </w:numPr>
        <w:pStyle w:val="Heading3"/>
      </w:pPr>
      <w:r>
        <w:t xml:space="preserve">High-level Description of the Processing</w:t>
      </w:r>
    </w:p>
    <w:p>
      <w:pPr>
        <w:pStyle w:val="FirstParagraph"/>
      </w:pPr>
      <w:r>
        <w:t xml:space="preserve">Shyware provides a processor architecture for customer-controlled applications that need to preserve aggregate auditability, eligibility, recovery, or reveal utilities while avoiding an identity–payload join in accepted canonical state. The architecture is based on the Mainhub twin-kernel pattern:</w:t>
      </w:r>
    </w:p>
    <w:p>
      <w:pPr>
        <w:numPr>
          <w:ilvl w:val="0"/>
          <w:numId w:val="1001"/>
        </w:numPr>
      </w:pPr>
      <w:r>
        <w:t xml:space="preserve">Write kernel: validation-layer rejection predicate, disjoint canonical List 1 and List 2 records, count-match or conservation invariants where applicable, and exclusion of validator-visible intermediate states that would materialize a join.</w:t>
      </w:r>
    </w:p>
    <w:p>
      <w:pPr>
        <w:numPr>
          <w:ilvl w:val="0"/>
          <w:numId w:val="1001"/>
        </w:numPr>
      </w:pPr>
      <w:r>
        <w:t xml:space="preserve">Reconcile kernel: protected linkage outside canonical state, fresh authenticated input, at most one payload-free reference per invocation, no bulk/enumerable mapping, typed actions, audit logs, and separation from ordinary canonical commit authority.</w:t>
      </w:r>
    </w:p>
    <w:p>
      <w:pPr>
        <w:pStyle w:val="FirstParagraph"/>
      </w:pPr>
      <w:r>
        <w:t xml:space="preserve">This reference DPIA covers the core processor pattern. It does not approve every product domain. Browser analytics, voting, confidential store, DAO governance, private transfer, financing, custody, betting, lots/real estate, camera/IoT, private chat, and informant stream deployments require domain DPIAs because purposes, data subjects, legal bases, and harms differ materially.</w:t>
      </w:r>
    </w:p>
    <w:bookmarkStart w:id="23" w:name="processed-data-twin-kernel-hub"/>
    <w:p>
      <w:pPr>
        <w:numPr>
          <w:ilvl w:val="2"/>
          <w:numId w:val="1003"/>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68"/>
        <w:gridCol w:w="2621"/>
        <w:gridCol w:w="2714"/>
        <w:gridCol w:w="3557"/>
      </w:tblGrid>
      <w:tr>
        <w:trPr>
          <w:tblHeader w:val="on"/>
        </w:trPr>
        <w:tc>
          <w:tcPr>
            <w:tcW w:type="pct" w:w="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Typical Source / Component</w:t>
            </w:r>
          </w:p>
        </w:tc>
        <w:tc>
          <w:tcPr>
            <w:tcW w:type="pct" w:w="1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Sensitivity</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Payload-free submission identifier</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List 1 / canonical state</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Pseudonymous; sensitivity increases when linked to payload or identity</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Sealed or protocol payload</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app, List 1, local client, storage layer</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Varies by domain; may be special-category, financial, political, communications, sensor, or health-style data</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eligibility, wallet, or account commitment</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List 2 / identity mode / verifier</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Pseudonymous; can be personal data when linkable to provider or controller records</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verification or authentication evidence</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IDV, wallet, DID, account, biometric, or session provider</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High; may involve identity documents, biometrics, wallet history, or account proofs</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record</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Reconcile store outside canonical state</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High; can enable recovery or reveal when combined with identity authority</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Reconcile event and audit log</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Reconcile interface and security logs</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 shows invocation, typed action, and authorized flow</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7</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audit artifact</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Merkle root, HSM signature, closure event, count record</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Low/medium; aggregate but may reveal participation count</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Operational telemetry and support data</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Hosting, logs, support tickets, observability</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Medium unless logging exclusions fail</w:t>
            </w:r>
          </w:p>
        </w:tc>
      </w:tr>
    </w:tbl>
    <w:bookmarkEnd w:id="23"/>
    <w:bookmarkStart w:id="24" w:name="purposes-twin-kernel-hub"/>
    <w:p>
      <w:pPr>
        <w:numPr>
          <w:ilvl w:val="2"/>
          <w:numId w:val="1003"/>
        </w:numPr>
        <w:pStyle w:val="Heading4"/>
      </w:pPr>
      <w:r>
        <w:t xml:space="preserve">Purposes of the Processing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4399"/>
        <w:gridCol w:w="4212"/>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2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Purpose</w:t>
            </w:r>
          </w:p>
        </w:tc>
        <w:tc>
          <w:tcPr>
            <w:tcW w:type="pct" w:w="2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Legal Basis Assumption</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 customer SDK and hosted processor services</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determines legal basis; Shyware acts under documented instructions</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Minimize identity–payload linkage in accepted canonical state</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Privacy by design / data minimization support under controller legal basis</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Preserve aggregate verifiability and integrity</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Legitimate interests, public interest, legal obligation, or contract depending deployment</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Support user, controller, or lawful recovery/reveal/deletion workflows where enabled</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Controller-specific legal basis and transparency required</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Operate, secure, debug, and support the service</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Contract performance / legitimate interests subject to minimization and logging exclusions</w:t>
            </w:r>
          </w:p>
        </w:tc>
      </w:tr>
    </w:tbl>
    <w:bookmarkEnd w:id="24"/>
    <w:bookmarkStart w:id="25" w:name="nature-twin-kernel-hub"/>
    <w:p>
      <w:pPr>
        <w:numPr>
          <w:ilvl w:val="2"/>
          <w:numId w:val="1003"/>
        </w:numPr>
        <w:pStyle w:val="Heading4"/>
      </w:pPr>
      <w:r>
        <w:t xml:space="preserve">Nature, Scope and Context</w:t>
      </w:r>
    </w:p>
    <w:p>
      <w:pPr>
        <w:pStyle w:val="FirstParagraph"/>
      </w:pPr>
      <w:r>
        <w:t xml:space="preserve">Shyware is best treated as a processor technology package, not as a universal controller DPIA. Customers decide purposes, data subjects, payload schemas, legal basis, identity mode, retention, recovery mode, and notices. Shyware provides architecture, SDK, hosted services where used, protected-linkage/reconcile support where enabled, audit artifacts, and DPA-backed assistance.</w:t>
      </w:r>
    </w:p>
    <w:p>
      <w:pPr>
        <w:pStyle w:val="BodyText"/>
      </w:pPr>
      <w:r>
        <w:t xml:space="preserve">The core architecture can reduce some linkage risks, but it does not make all Shyware data anonymous or non-personal. Identity proofs, wallet data, biometric liveness, protected linkage rows, payloads, endpoint state, support artifacts, and telemetry may remain personal data. Domain DPIAs must assess whether special-category, financial, political, employment, health, communications, housing, gambling, or surveillance harms arise.</w:t>
      </w:r>
    </w:p>
    <w:bookmarkEnd w:id="25"/>
    <w:bookmarkStart w:id="26" w:name="patent-alignment-twin-kernel-hub"/>
    <w:p>
      <w:pPr>
        <w:numPr>
          <w:ilvl w:val="2"/>
          <w:numId w:val="1003"/>
        </w:numPr>
        <w:pStyle w:val="Heading4"/>
      </w:pPr>
      <w:r>
        <w:t xml:space="preserve">Mainhub Patent Alignment</w:t>
      </w:r>
    </w:p>
    <w:p>
      <w:pPr>
        <w:pStyle w:val="FirstParagraph"/>
      </w:pPr>
      <w:r>
        <w:t xml:space="preserve">This DPIA is the audit record for the Mainhub twin-kernel hub processing pattern. The patent posture should be stated as a combined architecture, not as a blanket anonymity claim and not as only a canonical-state claim.</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153"/>
        <w:gridCol w:w="3463"/>
        <w:gridCol w:w="3744"/>
      </w:tblGrid>
      <w:tr>
        <w:trPr>
          <w:tblHeader w:val="on"/>
        </w:trPr>
        <w:tc>
          <w:tcPr>
            <w:tcW w:type="pct" w:w="1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Patent layer</w:t>
            </w:r>
          </w:p>
        </w:tc>
        <w:tc>
          <w:tcPr>
            <w:tcW w:type="pct" w:w="1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DPIA treatment</w:t>
            </w:r>
          </w:p>
        </w:tc>
        <w:tc>
          <w:tcPr>
            <w:tcW w:type="pct" w:w="2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Boundary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Write-side rejection predicate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Technical and organizational measure supporting minimization and unlinkability of canonical records</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implementation evidence that accepted canonical state and validator-visible intermediate state cannot contain the identity–payload join</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Disjoint canonical List 1 / List 2 records</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Prevents accepted canonical state from containing a jointly addressable identity–payload representation</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Does not protect payload content, endpoint state, API logs, IDV records, wallet history, or off-chain linkage</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Count-match or conservation invariant</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Supports aggregate auditability while preserving separation between identity-side and payload-side records</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Does not determine legal basis, fairness, eligibility, or human review obligations</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store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Enables recovery, reveal, deletion, restore, redeem, or presence-check utility outside canonical state</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High-risk operational component; must be tenant-scoped, access-controlled, retained only as needed, and audited</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Reconcile kernel</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Enables fresh-input, single-subject, non-enumerable, non-bulk retrieval or typed action</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Must not become an operator analytics, bulk export, reverse lookup, or general mapping surface</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Provider/authority partitioning</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Reduces single-provider reconstruction risk across IDV/auth, linkage store, reconciling authority, and canonical commit authority</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Collusion, legal compulsion, infrastructure compromise, or customer role consolidation remain residual risks</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Write-only or hostile-context posture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Optional deployment mode for coercion-sensitive or high-threat contexts</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Must be selected and implemented per domain; it is not the default result of using Shyware</w:t>
            </w:r>
          </w:p>
        </w:tc>
      </w:tr>
    </w:tbl>
    <w:bookmarkEnd w:id="26"/>
    <w:bookmarkEnd w:id="27"/>
    <w:bookmarkStart w:id="28" w:name="functional-description-twin-kernel-hub"/>
    <w:p>
      <w:pPr>
        <w:numPr>
          <w:ilvl w:val="1"/>
          <w:numId w:val="1003"/>
        </w:numPr>
        <w:pStyle w:val="Heading3"/>
      </w:pPr>
      <w:r>
        <w:t xml:space="preserve">Functional Description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059"/>
        <w:gridCol w:w="3557"/>
        <w:gridCol w:w="3744"/>
      </w:tblGrid>
      <w:tr>
        <w:trPr>
          <w:tblHeader w:val="on"/>
        </w:trPr>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Phase</w:t>
            </w:r>
          </w:p>
        </w:tc>
        <w:tc>
          <w:tcPr>
            <w:tcW w:type="pct" w:w="1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Operation</w:t>
            </w:r>
          </w:p>
        </w:tc>
        <w:tc>
          <w:tcPr>
            <w:tcW w:type="pct" w:w="2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Explanation</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Configuration</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selects product domain, identity mode, payload schema, recovery mode, retention, and hosting model</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choices define DPIA scope and can defeat the intended privacy posture if not reviewed</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Admission / eligibility</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User proves eligibility, identity, wallet control, account control, or personhood where required</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visibility and transfer posture must be documented</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Write-side processing</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Client or service prepares payload-free identifier, payload or sealed payload, and identity/eligibility commitment</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Validation layer must reject join-capable canonical states and join-capable intermediate states</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commit</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Disjoint List 1 and List 2 records are committed with applicable invariants</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Accepted state should not contain the identity–payload join</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audit</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Roots, counts, signatures, closure records, or period attestations are produced</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Supports verification without exposing participant-specific linkage</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Reconcile-side processing</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Fresh authenticated request resolves at most one payload-free reference or typed action where enabled</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remains outside canonical state and must not be enumerable</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Deletion / lifecycle</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or user request triggers deletion, suppression, restore, reveal, withdraw, redeem, or replacement where available</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Lifecycle coverage must include canonical state, protected linkage, local storage, backups, logs, IDV/provider records, and customer systems</w:t>
            </w:r>
          </w:p>
        </w:tc>
      </w:tr>
    </w:tbl>
    <w:bookmarkEnd w:id="28"/>
    <w:bookmarkEnd w:id="29"/>
    <w:bookmarkStart w:id="33" w:name="analysis-twin-kernel-hub"/>
    <w:p>
      <w:pPr>
        <w:numPr>
          <w:ilvl w:val="0"/>
          <w:numId w:val="1003"/>
        </w:numPr>
        <w:pStyle w:val="Heading2"/>
      </w:pPr>
      <w:r>
        <w:t xml:space="preserve">ANALYSIS OF THE PROCESSING</w:t>
      </w:r>
    </w:p>
    <w:bookmarkStart w:id="30" w:name="lawfulness-twin-kernel-hub"/>
    <w:p>
      <w:pPr>
        <w:numPr>
          <w:ilvl w:val="1"/>
          <w:numId w:val="1003"/>
        </w:numPr>
        <w:pStyle w:val="Heading3"/>
      </w:pPr>
      <w:r>
        <w:t xml:space="preserve">Lawfulness of the Processing</w:t>
      </w:r>
    </w:p>
    <w:p>
      <w:pPr>
        <w:pStyle w:val="FirstParagraph"/>
      </w:pPr>
      <w:r>
        <w:t xml:space="preserve">Shyware should not assert a universal lawful basis. Customer controllers determine legal basis for each deployment. Shyware processes personal data only under documented customer instructions, the DPA, product configuration, and applicable subprocessor commitments. If a deployment involves special-category data, biometric processing, political opinion inference, financial records, communications content, housing, employment, children, gambling, camera/sensor surveillance, or public-sector processing, domain counsel review is required before production.</w:t>
      </w:r>
    </w:p>
    <w:bookmarkEnd w:id="30"/>
    <w:bookmarkStart w:id="31" w:name="minimisation-twin-kernel-hub"/>
    <w:p>
      <w:pPr>
        <w:numPr>
          <w:ilvl w:val="1"/>
          <w:numId w:val="1003"/>
        </w:numPr>
        <w:pStyle w:val="Heading3"/>
      </w:pPr>
      <w:r>
        <w:t xml:space="preserve">Data Minimisation, Retention Periods, and Data Quality</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46"/>
        <w:gridCol w:w="4212"/>
        <w:gridCol w:w="2902"/>
      </w:tblGrid>
      <w:tr>
        <w:trPr>
          <w:tblHeader w:val="on"/>
        </w:trPr>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Area</w:t>
            </w:r>
          </w:p>
        </w:tc>
        <w:tc>
          <w:tcPr>
            <w:tcW w:type="pct" w:w="2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Minimisation Position</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Open Review Item</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state</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Store only disjoint canonical records, payload-free identifiers, commitments, aggregate artifacts, and sealed values required for the deployment</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rejection predicate and schema constraints for each embodiment</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Disable unless recovery/reveal/deletion/restore/redeem/presence-check is necessary</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Define retention, access policy, tenant scoping, audit log, and deletion behavior</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 IDV / wallet</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Use scoped commitments and minimum provider records necessary for the selected identity mode</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provider retention, transfer mechanism, and role separation</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Payload</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Seal or minimize payload before canonical write where possible</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Define prohibited fields and domain-specific schema gates</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Telemetry</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Exclude payload plaintext, identity hashes, proof hashes, nonces, protected linkage rows, and recovery outputs</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production logging filters and support-bundle rules</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Local state</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Use least persistent storage compatible with user workflow</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wipe behavior, cache controls, and endpoint threat assumptions</w:t>
            </w:r>
          </w:p>
        </w:tc>
      </w:tr>
    </w:tbl>
    <w:bookmarkEnd w:id="31"/>
    <w:bookmarkStart w:id="32" w:name="Xc5f877e53d92133727e6644334764d680361739"/>
    <w:p>
      <w:pPr>
        <w:numPr>
          <w:ilvl w:val="1"/>
          <w:numId w:val="1003"/>
        </w:numPr>
        <w:pStyle w:val="Heading3"/>
      </w:pPr>
      <w:r>
        <w:t xml:space="preserve">Provider Partition Assessment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778"/>
        <w:gridCol w:w="2808"/>
        <w:gridCol w:w="2714"/>
        <w:gridCol w:w="2059"/>
      </w:tblGrid>
      <w:tr>
        <w:trPr>
          <w:tblHeader w:val="on"/>
        </w:trPr>
        <w:tc>
          <w:tcPr>
            <w:tcW w:type="pct" w:w="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 / provider</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Permitted visibility</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Must not hold</w:t>
            </w:r>
          </w:p>
        </w:tc>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DPIA assessment</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IDV or authentication provider</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Real-world identity, biometric/session evidence, wallet/account proof, or identity commitment derivation inputs as configured</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Payload, protected linkage table, ordinary canonical commit authority</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Must not deanonymize alone; residual risk increases if IDV and linkage roles are consolidated</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store provider</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Deployment-scoped identity commitment to submission identifier or recovery reference where enabled</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Real-world identity, payload content/direction, bulk export authority, ordinary canonical write authority</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High-risk component; acceptable only with tenant scoping, audit logs, retention limits, and no enumerable access</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Fresh authenticated request, typed action, and at most one payload-free reference per invocation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Iterable domain, reverse lookup, payload content, unrestricted linkage export, ordinary commit keyset</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Must remain non-composable and single-subject; any bulk tool requires separate DPIA review</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commit authority / validators</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List 1 and List 2 records, aggregate evidence, and state-transition validation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IDV records, protected linkage store, sealer keys, or join-capable intermediate state</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Patent-aligned only if rejection predicate and intermediate-state exclusion are implemented and linked to engineering evidence</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controller</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Purpose, schema, legal basis, notices, identity mode, retention, recovery policy, and rights workflow</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Unreviewed direct identifiers in payloads, logs, or customer-side joins that defeat the posture</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choices can defeat minimization and must be reviewed for high-risk domains</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Telemetry / support provider</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Operational metrics and support artifacts necessary to run and secure the service</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hashes, proof hashes, nonces, protected linkage rows, sealed payload plaintext, or recovery outputs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Logging exclusions require production evidence before launch</w:t>
            </w:r>
          </w:p>
        </w:tc>
      </w:tr>
    </w:tbl>
    <w:bookmarkEnd w:id="32"/>
    <w:bookmarkEnd w:id="33"/>
    <w:bookmarkStart w:id="34" w:name="necessity-twin-kernel-hub"/>
    <w:p>
      <w:pPr>
        <w:numPr>
          <w:ilvl w:val="0"/>
          <w:numId w:val="1003"/>
        </w:numPr>
        <w:pStyle w:val="Heading2"/>
      </w:pPr>
      <w:r>
        <w:t xml:space="preserve">CONSIDERATIONS ON NECESSITY AND PROPORTIONALITY</w:t>
      </w:r>
    </w:p>
    <w:p>
      <w:pPr>
        <w:pStyle w:val="FirstParagraph"/>
      </w:pPr>
      <w:r>
        <w:t xml:space="preserve">The twin-kernel architecture is potentially proportionate where a customer needs both privacy-preserving canonical records and operational utility such as recovery, reveal, withdrawal, restore, redemption, duplicate prevention, or aggregate audit. It is less proportionate if the customer can meet the same purpose with anonymous local-only processing, no identity mode, no protected linkage, or no retained recovery path.</w:t>
      </w:r>
    </w:p>
    <w:p>
      <w:pPr>
        <w:pStyle w:val="BodyText"/>
      </w:pPr>
      <w:r>
        <w:t xml:space="preserve">For each deployment, the controller should justify:</w:t>
      </w:r>
    </w:p>
    <w:p>
      <w:pPr>
        <w:numPr>
          <w:ilvl w:val="0"/>
          <w:numId w:val="1002"/>
        </w:numPr>
      </w:pPr>
      <w:r>
        <w:t xml:space="preserve">why canonical auditability or integrity evidence is necessary;</w:t>
      </w:r>
    </w:p>
    <w:p>
      <w:pPr>
        <w:numPr>
          <w:ilvl w:val="0"/>
          <w:numId w:val="1002"/>
        </w:numPr>
      </w:pPr>
      <w:r>
        <w:t xml:space="preserve">why identity, eligibility, wallet, IDV, or authentication is necessary;</w:t>
      </w:r>
    </w:p>
    <w:p>
      <w:pPr>
        <w:numPr>
          <w:ilvl w:val="0"/>
          <w:numId w:val="1002"/>
        </w:numPr>
      </w:pPr>
      <w:r>
        <w:t xml:space="preserve">whether protected linkage is disabled, user-only, controller-approved, or lawful-process enabled;</w:t>
      </w:r>
    </w:p>
    <w:p>
      <w:pPr>
        <w:numPr>
          <w:ilvl w:val="0"/>
          <w:numId w:val="1002"/>
        </w:numPr>
      </w:pPr>
      <w:r>
        <w:t xml:space="preserve">whether write-only posture is required for coercion-sensitive or hostile contexts;</w:t>
      </w:r>
    </w:p>
    <w:p>
      <w:pPr>
        <w:numPr>
          <w:ilvl w:val="0"/>
          <w:numId w:val="1002"/>
        </w:numPr>
      </w:pPr>
      <w:r>
        <w:t xml:space="preserve">whether domain-specific law imposes additional retention, reveal, explanation, appeal, or reporting duties.</w:t>
      </w:r>
    </w:p>
    <w:bookmarkEnd w:id="34"/>
    <w:bookmarkStart w:id="39" w:name="risk-twin-kernel-hub"/>
    <w:p>
      <w:pPr>
        <w:numPr>
          <w:ilvl w:val="0"/>
          <w:numId w:val="1003"/>
        </w:numPr>
        <w:pStyle w:val="Heading2"/>
      </w:pPr>
      <w:r>
        <w:t xml:space="preserve">RISK ASSESSMENT AND MANAGEMENT</w:t>
      </w:r>
    </w:p>
    <w:bookmarkStart w:id="38" w:name="risk-method-twin-kernel-hub"/>
    <w:p>
      <w:pPr>
        <w:numPr>
          <w:ilvl w:val="1"/>
          <w:numId w:val="1003"/>
        </w:numPr>
        <w:pStyle w:val="Heading3"/>
      </w:pPr>
      <w:r>
        <w:t xml:space="preserve">Risk Method</w:t>
      </w:r>
    </w:p>
    <w:p>
      <w:pPr>
        <w:pStyle w:val="FirstParagraph"/>
      </w:pPr>
      <w:r>
        <w:t xml:space="preserve">Likelihood scale: 1 (Negligible) — 2 (Limited) — 3 (Significant) — 4 (Maximum)</w:t>
      </w:r>
    </w:p>
    <w:p>
      <w:pPr>
        <w:pStyle w:val="BodyText"/>
      </w:pPr>
      <w:r>
        <w:t xml:space="preserve">Severity scale: 1 (Negligible) — 2 (Limited) — 3 (Significant) — 4 (Maximum)</w:t>
      </w:r>
    </w:p>
    <w:p>
      <w:pPr>
        <w:pStyle w:val="BodyText"/>
      </w:pPr>
      <w:r>
        <w:t xml:space="preserve">Risk level: Likelihood x Severity. Acceptable residual threshold: 4 or below. Risks scoring 5–6 require mitigating measures before proceeding. Risks above 6 require redesign, disabled functionality, or domain counsel escalation.</w:t>
      </w:r>
    </w:p>
    <w:bookmarkStart w:id="35" w:name="inherent-risk-assessment-twin-kernel-hub"/>
    <w:p>
      <w:pPr>
        <w:numPr>
          <w:ilvl w:val="2"/>
          <w:numId w:val="1003"/>
        </w:numPr>
        <w:pStyle w:val="Heading4"/>
      </w:pPr>
      <w:r>
        <w:t xml:space="preserve">Inherent Risk Assessment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714"/>
        <w:gridCol w:w="655"/>
        <w:gridCol w:w="655"/>
        <w:gridCol w:w="3557"/>
        <w:gridCol w:w="655"/>
        <w:gridCol w:w="1123"/>
      </w:tblGrid>
      <w:tr>
        <w:trPr>
          <w:tblHeader w:val="on"/>
        </w:trPr>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Likelihood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Severity</w:t>
            </w:r>
          </w:p>
        </w:tc>
        <w:tc>
          <w:tcPr>
            <w:tcW w:type="pct" w:w="1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Modulating Factors</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 Level</w:t>
            </w:r>
          </w:p>
        </w:tc>
        <w:tc>
          <w:tcPr>
            <w:tcW w:type="pct" w:w="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implementation defect</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Rejection predicate is the core technical control; defect could invalidate the posture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No; requires evidence linkage and regression-test summary</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compromise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Enables recovery or reveal linkage when combined with identity authority</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No; requires partitioning and access controls</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Single-provider reconstruction</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Consolidated IDV/linkage/reconcile roles can defeat single-provider non-attribution</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No; requires provider matrix or accepted exception</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Cross-provider collusion or compulsion</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partitioning raises threshold but does not eliminate coordinated disclosure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explicit residual acceptance per domain</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 or local-state leakage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Client cache, malware, screenshots, local receipts, or support exports can expose data</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9</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No for high-risk domains; mitigations required</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Network and timing correlation</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Shyware is not Tor; participation may be observable even if payload linkage is protected</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deployment controls</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Payload self-identification</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Payload may identify the user or third parties independent of canonical unlinkability</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12</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No; domain schema controls required</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IDV, wallet, or biometric provider breach</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may hold real identity, wallet, account, or biometric evidence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DPA/subprocessor and transfer review</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configuration defeat</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schema, logs, retention, or business process may reintroduce joins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12</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No; integration review required</w:t>
            </w:r>
          </w:p>
        </w:tc>
      </w:tr>
    </w:tbl>
    <w:bookmarkEnd w:id="35"/>
    <w:bookmarkStart w:id="36" w:name="X8b9593808d4e64d2091de918825cab50061bc64"/>
    <w:p>
      <w:pPr>
        <w:numPr>
          <w:ilvl w:val="2"/>
          <w:numId w:val="1003"/>
        </w:numPr>
        <w:pStyle w:val="Heading4"/>
      </w:pPr>
      <w:r>
        <w:t xml:space="preserve">Additional Mitigating Measures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68"/>
        <w:gridCol w:w="3182"/>
        <w:gridCol w:w="2434"/>
        <w:gridCol w:w="2434"/>
        <w:gridCol w:w="842"/>
      </w:tblGrid>
      <w:tr>
        <w:trPr>
          <w:tblHeader w:val="on"/>
        </w:trPr>
        <w:tc>
          <w:tcPr>
            <w:tcW w:type="pct" w:w="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Measure</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Mitigated Risk</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Effectiveness</w:t>
            </w:r>
          </w:p>
        </w:tc>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Status</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Evidence appendix for rejection predicate, intermediate-state exclusion, and count-match/conservation invariants, including existing</w:t>
            </w:r>
            <w:r>
              <w:t xml:space="preserve"> </w:t>
            </w:r>
            <w:r>
              <w:rPr>
                <w:rStyle w:val="VerbatimChar"/>
              </w:rPr>
              <w:t xml:space="preserve">shyware/domain/state/state_test.go</w:t>
            </w:r>
            <w:r>
              <w:t xml:space="preserve"> </w:t>
            </w:r>
            <w:r>
              <w:t xml:space="preserve">coverage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implementation defect</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Available: see patent/mainhub/dpia/evidence_index.md (consumer supertest suites + results) and patent/mainhub/composition.tex (reduction-to-practice 2026-05-04)</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partition matrix for each deployment</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Single-provider reconstruction, compulsion, protected linkage risk</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Required before production</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Non-enumerable reconcile API: fresh input, one subject, one typed action, no batch, no reverse lookup</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misuse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Required before production</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Tenant scoping, least privilege, audit logs, retention limits, and dual-control for non-user-initiated reconcile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compromise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Required before production</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Telemetry and support logging exclusions with test or configuration evidence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Endpoint/local/support leakage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Available: see patent/mainhub/dpia/evidence_index.md (consumer scenario-results and supertest logs)</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Domain DPIA gate before use in voting, health, finance, betting, housing, workplace, communications, camera/IoT, informant, or hostile-context deployments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configuration and domain-specific harms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Required before production</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7</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Write-only posture and transport/opsec controls where coercion or hostile-network risk is material</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Endpoint/network/coercion risk</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Deployment-dependent</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transfer, retention, deletion, and rights-workflow annexes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IDV/wallet/provider and legal compliance risks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Required before public legal launch</w:t>
            </w:r>
          </w:p>
        </w:tc>
      </w:tr>
    </w:tbl>
    <w:bookmarkEnd w:id="36"/>
    <w:bookmarkStart w:id="37" w:name="residual-risk-assessment-twin-kernel-hub"/>
    <w:p>
      <w:pPr>
        <w:numPr>
          <w:ilvl w:val="2"/>
          <w:numId w:val="1003"/>
        </w:numPr>
        <w:pStyle w:val="Heading4"/>
      </w:pPr>
      <w:r>
        <w:t xml:space="preserve">Residual Risk Assessment</w:t>
      </w:r>
    </w:p>
    <w:p>
      <w:pPr>
        <w:pStyle w:val="FirstParagraph"/>
      </w:pPr>
      <w:r>
        <w:t xml:space="preserve">The residual scores below assume the core Shyware twin-kernel controls are implemented as described in the patent materials and linked engineering evidence. The software evidence for the core kernel may be complete while unresolved deployment, provider, payload, legal, or customer-configuration choices still remain for this domain. Scores above the acceptable threshold describe residual domain risk after validation; they do not say the kernel tests were missing.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714"/>
        <w:gridCol w:w="3182"/>
        <w:gridCol w:w="655"/>
        <w:gridCol w:w="655"/>
        <w:gridCol w:w="655"/>
        <w:gridCol w:w="1498"/>
      </w:tblGrid>
      <w:tr>
        <w:trPr>
          <w:tblHeader w:val="on"/>
        </w:trPr>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implementation defect</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Existing engineering tests plus evidence appendix (#1)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conditional on counsel-reviewable evidence link; evidence present (see</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compromise</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Partitioning, non-enumerability, access controls (#2–#4)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for core processor posture; domain review still required</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Single-provider reconstruction</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matrix and role separation (#2)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holds identity authority and linkage authority</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Cross-provider collusion or compulsion</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Partitioning, audit, customer legal basis, and domain review (#2, #4, #6)</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domain-specific acceptance or redesign; not a kernel-test gap</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 or local-state leakage</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Logging exclusions, local controls, write-only where needed (#5, #7)</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domain-specific endpoint posture; not a canonical-state gap</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Network and timing correlation</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Deployment transport/opsec controls where needed (#7)</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for moderate-risk deployments; not for hostile contexts without extra controls</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Payload self-identification</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Domain schema gates and DPIA review (#6)</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domain DPIA because payload content can identify independently of kernel controls</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IDV, wallet, or biometric provider breach</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transfer, retention, and provider-role review (#8)</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conditional on provider review</w:t>
            </w:r>
          </w:p>
        </w:tc>
      </w:tr>
      <w:tr>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configuration defeat</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 integration checklist and domain DPIA gate (#6, #8)</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customer-specific review; not a kernel-test gap</w:t>
            </w:r>
          </w:p>
        </w:tc>
      </w:tr>
    </w:tbl>
    <w:p>
      <w:pPr>
        <w:pStyle w:val="BodyText"/>
      </w:pPr>
      <w:r>
        <w:t xml:space="preserve">The core twin-kernel processor posture is conditionally acceptable only as a reference architecture. The reference DPIA does not approve high-risk domain deployments by itself. Residual risks above threshold must be handled in the relevant domain DPIA or by disabling the risky feature, especially protected linkage, recovery/reveal, identity mode, endpoint receipt access, or payload capture.</w:t>
      </w:r>
    </w:p>
    <w:bookmarkEnd w:id="37"/>
    <w:bookmarkEnd w:id="38"/>
    <w:bookmarkEnd w:id="39"/>
    <w:bookmarkStart w:id="40" w:name="interested-parties-twin-kernel-hub"/>
    <w:p>
      <w:pPr>
        <w:numPr>
          <w:ilvl w:val="0"/>
          <w:numId w:val="1003"/>
        </w:numPr>
        <w:pStyle w:val="Heading2"/>
      </w:pPr>
      <w:r>
        <w:t xml:space="preserve">INVOLVEMENT OF INTERESTED PARTIES</w:t>
      </w:r>
    </w:p>
    <w:p>
      <w:pPr>
        <w:pStyle w:val="FirstParagraph"/>
      </w:pPr>
      <w:r>
        <w:t xml:space="preserve">DPO review, privacy counsel review, security review, and engineering evidence review are required before external circulation. Data subject consultation is deployment-specific and should be considered where the customer deployment involves vulnerable groups, public-sector processing, employment, minors, political participation, health-style records, housing, camera/IoT surveillance, gambling, or coercion-sensitive contexts.</w:t>
      </w:r>
    </w:p>
    <w:bookmarkEnd w:id="40"/>
    <w:bookmarkStart w:id="41" w:name="conclusion-twin-kernel-hub"/>
    <w:p>
      <w:pPr>
        <w:numPr>
          <w:ilvl w:val="0"/>
          <w:numId w:val="1003"/>
        </w:numPr>
        <w:pStyle w:val="Heading2"/>
      </w:pPr>
      <w:r>
        <w:t xml:space="preserve">CONCLUSION AND DECISION</w:t>
      </w:r>
    </w:p>
    <w:p>
      <w:pPr>
        <w:pStyle w:val="FirstParagraph"/>
      </w:pPr>
      <w:r>
        <w:rPr>
          <w:b/>
          <w:bCs/>
        </w:rPr>
        <w:t xml:space="preserve">Decision: CONDITIONALLY APPROVED AS REFERENCE ARCHITECTURE ONLY.</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46"/>
        <w:gridCol w:w="7114"/>
      </w:tblGrid>
      <w:tr>
        <w:trPr>
          <w:tblHeader w:val="on"/>
        </w:trPr>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Condition</w:t>
            </w:r>
          </w:p>
        </w:tc>
        <w:tc>
          <w:tcPr>
            <w:tcW w:type="pct" w:w="3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Description</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Attach implementation evidence for rejection predicate, intermediate-state exclusion, and invariant tests</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Complete provider partition matrix before any hosted protected-linkage or reconcile workflow is offered</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Complete named subprocessor, transfer mechanism, retention, deletion, and TOM annexes</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Keep public language scoped: Shyware supports privacy-by-design and canonical-state minimization; it is not a blanket anonymity, non-PII, GDPR certification, or global-adversary-resistance claim</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Treat browser analytics and every other product surface as a separate domain DPIA where purposes, data subjects, legal bases, or harms differ</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 customer-specific review before production use in voting, health-style records, finance, betting, housing, workplace, communications, camera/IoT, informant, or hostile-context deployments</w:t>
            </w:r>
          </w:p>
        </w:tc>
      </w:tr>
    </w:tbl>
    <w:bookmarkEnd w:id="41"/>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Twin-Kernel Reference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1"/>
  </w:num>
  <w:num w:numId="1003">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2026-05-24T18:51:46Z</dcterms:created>
  <dcterms:modified xsi:type="dcterms:W3CDTF">2026-05-24T18:51:46Z</dcterms:modified>
</cp:coreProperties>
</file>

<file path=docProps/custom.xml><?xml version="1.0" encoding="utf-8"?>
<Properties xmlns="http://schemas.openxmlformats.org/officeDocument/2006/custom-properties" xmlns:vt="http://schemas.openxmlformats.org/officeDocument/2006/docPropsVTypes"/>
</file>